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B42" w:rsidRDefault="00A93B42" w:rsidP="00A93B42">
      <w:pPr>
        <w:jc w:val="both"/>
      </w:pPr>
      <w:bookmarkStart w:id="0" w:name="_GoBack"/>
      <w:bookmarkEnd w:id="0"/>
    </w:p>
    <w:p w:rsidR="00A93B42" w:rsidRPr="00A93B42" w:rsidRDefault="00A93B42" w:rsidP="00A93B42">
      <w:pPr>
        <w:keepNext/>
        <w:pBdr>
          <w:bottom w:val="single" w:sz="4" w:space="1" w:color="auto"/>
        </w:pBdr>
        <w:spacing w:before="240" w:after="60"/>
        <w:outlineLvl w:val="0"/>
        <w:rPr>
          <w:b/>
          <w:bCs/>
          <w:kern w:val="32"/>
          <w:sz w:val="28"/>
          <w:szCs w:val="28"/>
        </w:rPr>
      </w:pPr>
      <w:bookmarkStart w:id="1" w:name="_Toc166999306"/>
      <w:r w:rsidRPr="00A93B42">
        <w:rPr>
          <w:b/>
          <w:bCs/>
          <w:kern w:val="32"/>
          <w:sz w:val="28"/>
          <w:szCs w:val="28"/>
        </w:rPr>
        <w:t>BADANIA BIOCHEMICZNE KRWI</w:t>
      </w:r>
      <w:bookmarkEnd w:id="1"/>
    </w:p>
    <w:p w:rsidR="00A93B42" w:rsidRPr="00A93B42" w:rsidRDefault="00A93B42" w:rsidP="00A93B42">
      <w:pPr>
        <w:rPr>
          <w:b/>
          <w:iCs/>
          <w:smallCaps/>
        </w:rPr>
      </w:pPr>
    </w:p>
    <w:p w:rsidR="00A93B42" w:rsidRPr="00A93B42" w:rsidRDefault="00A93B42" w:rsidP="00A93B42">
      <w:pPr>
        <w:outlineLvl w:val="1"/>
        <w:rPr>
          <w:b/>
          <w:iCs/>
          <w:smallCaps/>
        </w:rPr>
      </w:pPr>
    </w:p>
    <w:p w:rsidR="00A93B42" w:rsidRPr="00A93B42" w:rsidRDefault="00A93B42" w:rsidP="004F0138">
      <w:pPr>
        <w:ind w:left="340"/>
        <w:outlineLvl w:val="1"/>
      </w:pPr>
      <w:bookmarkStart w:id="2" w:name="_Toc166999307"/>
      <w:r w:rsidRPr="00A93B42">
        <w:rPr>
          <w:b/>
          <w:iCs/>
          <w:smallCaps/>
          <w:sz w:val="28"/>
          <w:szCs w:val="28"/>
        </w:rPr>
        <w:t>Część teoretyczna</w:t>
      </w:r>
      <w:bookmarkEnd w:id="2"/>
    </w:p>
    <w:p w:rsidR="00A93B42" w:rsidRPr="00A93B42" w:rsidRDefault="00A93B42" w:rsidP="00A93B42">
      <w:pPr>
        <w:outlineLvl w:val="1"/>
        <w:rPr>
          <w:b/>
          <w:iCs/>
          <w:smallCaps/>
        </w:rPr>
      </w:pPr>
    </w:p>
    <w:p w:rsidR="00A93B42" w:rsidRPr="00A93B42" w:rsidRDefault="00A93B42" w:rsidP="00A93B42">
      <w:pPr>
        <w:outlineLvl w:val="1"/>
        <w:rPr>
          <w:b/>
          <w:iCs/>
          <w:smallCaps/>
        </w:rPr>
      </w:pPr>
    </w:p>
    <w:p w:rsidR="00A93B42" w:rsidRPr="00A93B42" w:rsidRDefault="00A93B42" w:rsidP="00A93B42">
      <w:pPr>
        <w:ind w:firstLine="567"/>
        <w:jc w:val="both"/>
      </w:pPr>
      <w:r w:rsidRPr="00A93B42">
        <w:t>Krew jest tkanką składającą się z części ciekłej zwanej osoczem i elementów morfotycznych, do których należą: krwinki czerwone (erytrocyty), białe (leukocyty) i płytki krwi. Krwinki białe dzielą się na trzy grupy: granulocyty (obojętnochłonne, zasadochłonne i kwasochłonne), monocyty i limfocyty. Wśród limfocytów wyróżnia się wytwarzające przeciwciała limfocyty B oraz limfocyty T biorące udział w komórkowej odpowiedzi immunologicznej. Najliczniejsze komórki występujące we krwi to erytrocyty (4 – 6 x 10</w:t>
      </w:r>
      <w:r w:rsidRPr="00A93B42">
        <w:rPr>
          <w:vertAlign w:val="superscript"/>
        </w:rPr>
        <w:t>6</w:t>
      </w:r>
      <w:r w:rsidRPr="00A93B42">
        <w:t>/mm</w:t>
      </w:r>
      <w:r w:rsidRPr="00A93B42">
        <w:rPr>
          <w:vertAlign w:val="superscript"/>
        </w:rPr>
        <w:t>3</w:t>
      </w:r>
      <w:r w:rsidRPr="00A93B42">
        <w:t xml:space="preserve">), odpowiedzialne za transport tlenu do tkanek i dwutlenku węgla do płuc. </w:t>
      </w:r>
    </w:p>
    <w:p w:rsidR="00A93B42" w:rsidRPr="00A93B42" w:rsidRDefault="00A93B42" w:rsidP="00A93B42">
      <w:pPr>
        <w:ind w:firstLine="567"/>
        <w:jc w:val="both"/>
      </w:pPr>
      <w:r w:rsidRPr="00A93B42">
        <w:t>Osocze stanowi 55%, a elementy upostaciowane 45% objętości krwi. Osocze pozbawione fibrynogenu nosi nazwę surowicy krwi. Aby zapobiec tworzeniu się skrzepu, krew pobierana jest do probówek zawierających antykoagulanty (ryc. 10.1).</w:t>
      </w:r>
    </w:p>
    <w:p w:rsidR="00A93B42" w:rsidRPr="00A93B42" w:rsidRDefault="00A93B42" w:rsidP="00A93B42">
      <w:pPr>
        <w:ind w:firstLine="567"/>
        <w:jc w:val="both"/>
      </w:pPr>
    </w:p>
    <w:p w:rsidR="00A93B42" w:rsidRPr="00A93B42" w:rsidRDefault="00A93B42" w:rsidP="00A93B42">
      <w:pPr>
        <w:ind w:firstLine="567"/>
        <w:jc w:val="both"/>
      </w:pPr>
      <w:r w:rsidRPr="00A93B42">
        <w:rPr>
          <w:noProof/>
          <w:lang w:val="en-US" w:eastAsia="en-US"/>
        </w:rPr>
        <w:drawing>
          <wp:inline distT="0" distB="0" distL="0" distR="0">
            <wp:extent cx="5400675" cy="2809875"/>
            <wp:effectExtent l="0" t="0" r="9525" b="9525"/>
            <wp:docPr id="2" name="Obraz 2" descr="Krew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rew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B42" w:rsidRPr="00A93B42" w:rsidRDefault="00A93B42" w:rsidP="00A93B42">
      <w:pPr>
        <w:ind w:firstLine="567"/>
        <w:jc w:val="both"/>
      </w:pPr>
    </w:p>
    <w:p w:rsidR="00A93B42" w:rsidRPr="00A93B42" w:rsidRDefault="00A93B42" w:rsidP="00A93B42">
      <w:pPr>
        <w:jc w:val="both"/>
      </w:pPr>
      <w:r w:rsidRPr="00A93B42">
        <w:rPr>
          <w:b/>
        </w:rPr>
        <w:t>Ryc. 10.1.</w:t>
      </w:r>
      <w:r w:rsidRPr="00A93B42">
        <w:t xml:space="preserve"> Otrzymywanie osocza i surowicy krwi</w:t>
      </w:r>
    </w:p>
    <w:p w:rsidR="00A93B42" w:rsidRPr="00A93B42" w:rsidRDefault="00A93B42" w:rsidP="00A93B42">
      <w:pPr>
        <w:ind w:firstLine="567"/>
        <w:jc w:val="both"/>
      </w:pPr>
    </w:p>
    <w:p w:rsidR="00A93B42" w:rsidRPr="00A93B42" w:rsidRDefault="00A93B42" w:rsidP="00A93B42">
      <w:pPr>
        <w:ind w:firstLine="567"/>
        <w:jc w:val="both"/>
      </w:pPr>
      <w:r w:rsidRPr="00A93B42">
        <w:t>Krew spełnia w organizmie rolę układu transportującego tlen, dwutlenek węgla, wodę, organiczne i nieorganiczne substancje odżywcze. We krwi występują produkty pośrednie i końcowe przemian metabolicznych substratów endo- i egzogennych. Przepływ krwi przez nerki umożliwia wydalenie toksycznych produktów metabolizmu z organizmu. Ponadto krew pełni funkcję immunologiczną ze względu na obecność ciał odpornościowych i komórek zdolnych do fagocytozy. Natomiast transport hormonów umożliwia przesyłanie sygnałów do odległych tkanek i komórek, które zawierają specyficzne receptory. Badanie składu krwi, który odzwierciedla procesy odbywające się w organizmie, pozwala na ocenę prawidłowego przebiegu tych procesów i posiada znaczenie diagnostyczne w stanach chorobowych.</w:t>
      </w:r>
    </w:p>
    <w:p w:rsidR="00A93B42" w:rsidRPr="00A93B42" w:rsidRDefault="00A93B42" w:rsidP="00A93B42">
      <w:pPr>
        <w:ind w:firstLine="567"/>
        <w:jc w:val="both"/>
      </w:pPr>
      <w:r w:rsidRPr="00A93B42">
        <w:t xml:space="preserve">W osoczu zawierającym 91-92% wody występują: białka, niebiałkowe składniki organiczne, takie jak: lipidy, cholesterol, cukry, aminokwasy oraz składniki nieorganiczne. Białka stanowią 7-8% masy osocza, pozostałe substancje występują w niewielkich ilościach. Podstawowym </w:t>
      </w:r>
      <w:r w:rsidRPr="00A93B42">
        <w:lastRenderedPageBreak/>
        <w:t xml:space="preserve">badaniem hematologicznym jest badanie morfologii krwi obwodowej, obejmującej zestaw badań jakościowych i ilościowych opisujących cechy komórek krwi oraz pomiar stężenia hemoglobiny, głównego białkowego składnika erytrocytów. </w:t>
      </w:r>
    </w:p>
    <w:p w:rsidR="00A93B42" w:rsidRPr="00A93B42" w:rsidRDefault="00A93B42" w:rsidP="00A93B42">
      <w:pPr>
        <w:ind w:firstLine="567"/>
        <w:jc w:val="both"/>
      </w:pPr>
      <w:r w:rsidRPr="00A93B42">
        <w:tab/>
        <w:t>Błona komórkowa erytrocytów jest dwuwarstwowa i składa się w 50% z białek i w 50% z lipidów. Białka cytoszkieletu (spektryna, ankiryna, aktyna, białko wymiany anionów) zapewniają krwinkom czerwonym dwuwklęsły kształt oraz odpowiednią elastyczność umożliwiającą przeciskanie się przez wąskie naczynia krwionośne. Natomiast lipidy (cholesterol i fosfolipidy) pozwalają na zachowanie płynności błony. Fosfolipidy zawierające cholinę (fosfatydylocholina i sfingomielina) przeważają w zewnętrznej warstwie błony, a fosfolipidy zawierające grupy aminowe (fosfatydyloetanoloamina i fosfatydyloseryna) w wewnętrznej warstwie błony. W roztworach izotonicznych (roztwory, których osmolarność jest równa osmolarności osocza) krwinki nie ulegają zmianom morfotycznym. Roztwory hipertoniczne powodują kurczenie się krwinek, natomiast w roztworach hipotonicznych krwinki pęcznieją i błony komórkowe ulegają przerwaniu. Oporność maksymalna jest to stężenie wodnego roztworu NaCl, przy którym dochodzi do całkowitej hemolizy krwinek. Hemolizę krwi w roztworach izotonicznych można wywołać przez zamrożenie krwi oraz działanie związków chemicznych takich jak: aceton, eter, mocznik, sole kwasów żółciowych, jady wężów, kwasy i zasady.</w:t>
      </w:r>
    </w:p>
    <w:p w:rsidR="00A93B42" w:rsidRPr="00A93B42" w:rsidRDefault="00A93B42" w:rsidP="00A93B42">
      <w:pPr>
        <w:jc w:val="both"/>
      </w:pPr>
    </w:p>
    <w:p w:rsidR="00A93B42" w:rsidRDefault="00A93B42" w:rsidP="00A93B42"/>
    <w:p w:rsidR="00A93B42" w:rsidRPr="00A93B42" w:rsidRDefault="00A93B42" w:rsidP="00A93B42">
      <w:pPr>
        <w:keepNext/>
        <w:pBdr>
          <w:bottom w:val="single" w:sz="4" w:space="1" w:color="auto"/>
        </w:pBdr>
        <w:spacing w:before="240" w:after="60"/>
        <w:outlineLvl w:val="0"/>
        <w:rPr>
          <w:b/>
          <w:bCs/>
          <w:kern w:val="32"/>
          <w:sz w:val="28"/>
          <w:szCs w:val="28"/>
        </w:rPr>
      </w:pPr>
      <w:r w:rsidRPr="00A93B42">
        <w:rPr>
          <w:b/>
          <w:bCs/>
          <w:kern w:val="32"/>
          <w:sz w:val="28"/>
          <w:szCs w:val="28"/>
        </w:rPr>
        <w:t xml:space="preserve"> DIAGNOSTYKA ENZMOLOGICZNA</w:t>
      </w:r>
    </w:p>
    <w:p w:rsidR="00A93B42" w:rsidRPr="00A93B42" w:rsidRDefault="00A93B42" w:rsidP="00A93B42">
      <w:pPr>
        <w:rPr>
          <w:iCs/>
        </w:rPr>
      </w:pPr>
    </w:p>
    <w:p w:rsidR="00A93B42" w:rsidRPr="00A93B42" w:rsidRDefault="00A93B42" w:rsidP="00A93B42">
      <w:pPr>
        <w:rPr>
          <w:iCs/>
        </w:rPr>
      </w:pPr>
    </w:p>
    <w:p w:rsidR="00A93B42" w:rsidRPr="00A93B42" w:rsidRDefault="00A93B42" w:rsidP="004F0138">
      <w:pPr>
        <w:outlineLvl w:val="1"/>
        <w:rPr>
          <w:b/>
          <w:iCs/>
          <w:smallCaps/>
          <w:sz w:val="28"/>
          <w:szCs w:val="28"/>
        </w:rPr>
      </w:pPr>
      <w:bookmarkStart w:id="3" w:name="_Toc166999301"/>
      <w:r w:rsidRPr="00A93B42">
        <w:rPr>
          <w:b/>
          <w:iCs/>
          <w:smallCaps/>
          <w:sz w:val="28"/>
          <w:szCs w:val="28"/>
        </w:rPr>
        <w:t>Część teoretyczna</w:t>
      </w:r>
      <w:bookmarkEnd w:id="3"/>
    </w:p>
    <w:p w:rsidR="00A93B42" w:rsidRPr="00A93B42" w:rsidRDefault="00A93B42" w:rsidP="00A93B42">
      <w:pPr>
        <w:rPr>
          <w:b/>
          <w:iCs/>
          <w:smallCaps/>
        </w:rPr>
      </w:pPr>
    </w:p>
    <w:p w:rsidR="00A93B42" w:rsidRPr="00A93B42" w:rsidRDefault="00A93B42" w:rsidP="00A93B42">
      <w:pPr>
        <w:rPr>
          <w:b/>
          <w:iCs/>
          <w:smallCaps/>
        </w:rPr>
      </w:pPr>
    </w:p>
    <w:p w:rsidR="00A93B42" w:rsidRPr="00A93B42" w:rsidRDefault="00A93B42" w:rsidP="00A93B42">
      <w:pPr>
        <w:ind w:firstLine="567"/>
        <w:jc w:val="both"/>
      </w:pPr>
      <w:r w:rsidRPr="00A93B42">
        <w:t>W stanach patologicznych zmiany aktywności enzymów we krwi są często odbiciem zmian zachodzących w narządach i dlatego badania enzymatyczne mogą dostarczyć lekarzowi wielu cennych informacji, które ułatwią rozpoznanie schorzenia i kontrolę leczenia. Nowoczesna diagnostyka enzymologiczna opiera się na założeniu, że uszkodzenie narządu pociąga za sobą uszkodzenie struktur komórkowych lub zmianę przepuszczalności błon komórkowych. Przez uszkodzone błony następuje ucieczka enzymów i zwiększa się ich ilość, a co za tym idzie także aktywność w cieczach ustrojowych czy wydalinach. Pozwala to wysuwać pewne wnioski o lokalizacji, rozmiarach i intensywności uszkodzenia.</w:t>
      </w:r>
    </w:p>
    <w:p w:rsidR="00A93B42" w:rsidRPr="00A93B42" w:rsidRDefault="00A93B42" w:rsidP="00A93B42">
      <w:pPr>
        <w:ind w:firstLine="567"/>
        <w:jc w:val="both"/>
      </w:pPr>
      <w:r w:rsidRPr="00A93B42">
        <w:t>W niektórych przypadkach przeciwnie – zmniejszenie aktywności pewnych enzymów (tzw. sekrecyjnych) surowicy świadczy o uszkodzeniu i niewydolności czynnościowej danego narządu.</w:t>
      </w:r>
    </w:p>
    <w:p w:rsidR="00A93B42" w:rsidRPr="00A93B42" w:rsidRDefault="00A93B42" w:rsidP="00A93B42">
      <w:pPr>
        <w:ind w:firstLine="567"/>
        <w:jc w:val="both"/>
      </w:pPr>
      <w:r w:rsidRPr="00A93B42">
        <w:rPr>
          <w:b/>
          <w:bCs/>
        </w:rPr>
        <w:t xml:space="preserve">Enzymy surowicy pod względem diagnostycznym </w:t>
      </w:r>
      <w:r w:rsidRPr="00A93B42">
        <w:rPr>
          <w:szCs w:val="18"/>
        </w:rPr>
        <w:t>dzielimy na trzy grupy:</w:t>
      </w:r>
    </w:p>
    <w:p w:rsidR="00A93B42" w:rsidRPr="00A93B42" w:rsidRDefault="00A93B42" w:rsidP="00A93B42">
      <w:pPr>
        <w:numPr>
          <w:ilvl w:val="1"/>
          <w:numId w:val="6"/>
        </w:numPr>
        <w:spacing w:before="120"/>
        <w:jc w:val="both"/>
        <w:rPr>
          <w:szCs w:val="18"/>
        </w:rPr>
      </w:pPr>
      <w:r w:rsidRPr="00A93B42">
        <w:rPr>
          <w:b/>
        </w:rPr>
        <w:t>Enzymy wskaźnikowe</w:t>
      </w:r>
      <w:r w:rsidRPr="00A93B42">
        <w:t xml:space="preserve"> (indykatorowe), których zwiększenie aktywności we krwi wskazuje na uszkodzenie struktur komórkowych i jest proporcjonalne do jego stopnia. Przykład: enzymy znajdujące się w cytoplazmie komórek wątrobowych: aminotransferaza asparaginianowa (ALT), aminotransferaza alaninowa (AST) i inne.</w:t>
      </w:r>
    </w:p>
    <w:p w:rsidR="00A93B42" w:rsidRPr="00A93B42" w:rsidRDefault="00A93B42" w:rsidP="00A93B42">
      <w:pPr>
        <w:numPr>
          <w:ilvl w:val="1"/>
          <w:numId w:val="6"/>
        </w:numPr>
        <w:spacing w:before="120"/>
        <w:jc w:val="both"/>
        <w:rPr>
          <w:szCs w:val="18"/>
        </w:rPr>
      </w:pPr>
      <w:r w:rsidRPr="00A93B42">
        <w:rPr>
          <w:b/>
        </w:rPr>
        <w:t>Enzymy wydzielnicze</w:t>
      </w:r>
      <w:r w:rsidRPr="00A93B42">
        <w:t xml:space="preserve"> (enzymy ekskrecyjne), wzrost ich aktywności w surowicy obserwuje się wskutek istnienia przeszkody w drogach odprowadzających wydzielinę ustrojową (np. żółć, sok trzustkowy, ciecz sterczowa czy ślina) i jej zastoju, co doprowadza do przejścia enzymów do krwioobiegu. Są nimi np.: fosfataza zasadowa (ALP), gammaglutamylotranspeptydaza (GGTP), aminopeptydaza leucynowa (LAP). Zwiększenie aktywności tych enzymów w surowicy krwi, zwłaszcza fosfatazy zasadowej, przemawia za niewydolnością miąższu wątroby lub za niedrożnością dróg żółciowych.</w:t>
      </w:r>
    </w:p>
    <w:p w:rsidR="00A93B42" w:rsidRPr="00A93B42" w:rsidRDefault="00A93B42" w:rsidP="00A93B42">
      <w:pPr>
        <w:numPr>
          <w:ilvl w:val="1"/>
          <w:numId w:val="6"/>
        </w:numPr>
        <w:spacing w:before="120"/>
        <w:jc w:val="both"/>
        <w:rPr>
          <w:szCs w:val="18"/>
        </w:rPr>
      </w:pPr>
      <w:r w:rsidRPr="00A93B42">
        <w:rPr>
          <w:b/>
        </w:rPr>
        <w:lastRenderedPageBreak/>
        <w:t>Enzymy wydzielnicze</w:t>
      </w:r>
      <w:r w:rsidRPr="00A93B42">
        <w:t xml:space="preserve"> (enzymy sekrecyjne), enzymy wytwarzane w komórkach np. wątroby i normalnie wydzielane do krwi. Przykład: esteraza cholinowa, czyli cholinesteraza (ChE), protrombina. Obniżenie aktywności tych enzymów w surowicy krwi świadczy o uszkodzeniu miąższu wątroby.</w:t>
      </w:r>
    </w:p>
    <w:p w:rsidR="00A93B42" w:rsidRPr="00A93B42" w:rsidRDefault="00A93B42" w:rsidP="00A93B42">
      <w:pPr>
        <w:outlineLvl w:val="1"/>
        <w:rPr>
          <w:b/>
          <w:iCs/>
          <w:smallCaps/>
          <w:sz w:val="28"/>
          <w:szCs w:val="28"/>
        </w:rPr>
      </w:pPr>
    </w:p>
    <w:p w:rsidR="00A93B42" w:rsidRPr="00A93B42" w:rsidRDefault="00A93B42" w:rsidP="00A93B42">
      <w:pPr>
        <w:rPr>
          <w:b/>
          <w:iCs/>
          <w:smallCaps/>
          <w:sz w:val="28"/>
          <w:szCs w:val="28"/>
        </w:rPr>
      </w:pPr>
    </w:p>
    <w:p w:rsidR="00A93B42" w:rsidRPr="00A93B42" w:rsidRDefault="00A93B42" w:rsidP="00A93B42">
      <w:pPr>
        <w:rPr>
          <w:b/>
          <w:iCs/>
          <w:smallCaps/>
          <w:sz w:val="28"/>
          <w:szCs w:val="28"/>
        </w:rPr>
      </w:pPr>
    </w:p>
    <w:p w:rsidR="00A93B42" w:rsidRPr="00A93B42" w:rsidRDefault="00A93B42" w:rsidP="00A93B42">
      <w:pPr>
        <w:rPr>
          <w:b/>
          <w:iCs/>
          <w:smallCaps/>
          <w:sz w:val="28"/>
          <w:szCs w:val="28"/>
        </w:rPr>
      </w:pPr>
    </w:p>
    <w:p w:rsidR="00A93B42" w:rsidRPr="00A93B42" w:rsidRDefault="00A93B42" w:rsidP="00A93B42">
      <w:pPr>
        <w:rPr>
          <w:b/>
          <w:iCs/>
          <w:smallCaps/>
          <w:sz w:val="28"/>
          <w:szCs w:val="28"/>
        </w:rPr>
      </w:pPr>
    </w:p>
    <w:p w:rsidR="00A93B42" w:rsidRPr="00A93B42" w:rsidRDefault="00A93B42" w:rsidP="00A93B42">
      <w:pPr>
        <w:outlineLvl w:val="1"/>
        <w:rPr>
          <w:b/>
          <w:iCs/>
          <w:smallCaps/>
          <w:sz w:val="28"/>
          <w:szCs w:val="28"/>
        </w:rPr>
        <w:sectPr w:rsidR="00A93B42" w:rsidRPr="00A93B42" w:rsidSect="00B62A27">
          <w:headerReference w:type="default" r:id="rId8"/>
          <w:footerReference w:type="default" r:id="rId9"/>
          <w:pgSz w:w="11906" w:h="16838"/>
          <w:pgMar w:top="1701" w:right="1134" w:bottom="1134" w:left="1134" w:header="709" w:footer="709" w:gutter="284"/>
          <w:cols w:space="720"/>
          <w:docGrid w:linePitch="360"/>
        </w:sectPr>
      </w:pPr>
    </w:p>
    <w:p w:rsidR="00A93B42" w:rsidRPr="00A93B42" w:rsidRDefault="00A93B42" w:rsidP="00A93B42">
      <w:pPr>
        <w:rPr>
          <w:b/>
          <w:iCs/>
          <w:smallCaps/>
        </w:rPr>
      </w:pPr>
    </w:p>
    <w:p w:rsidR="00A93B42" w:rsidRPr="00A93B42" w:rsidRDefault="00A93B42" w:rsidP="00A93B42">
      <w:pPr>
        <w:rPr>
          <w:b/>
          <w:iCs/>
          <w:smallCaps/>
        </w:rPr>
      </w:pPr>
    </w:p>
    <w:p w:rsidR="00A93B42" w:rsidRPr="00A93B42" w:rsidRDefault="00A93B42" w:rsidP="00A93B42">
      <w:pPr>
        <w:rPr>
          <w:b/>
          <w:iCs/>
          <w:smallCaps/>
        </w:rPr>
      </w:pPr>
    </w:p>
    <w:p w:rsidR="00A93B42" w:rsidRPr="00A93B42" w:rsidRDefault="00A93B42" w:rsidP="00A93B42">
      <w:pPr>
        <w:jc w:val="both"/>
        <w:rPr>
          <w:iCs/>
          <w:smallCaps/>
        </w:rPr>
      </w:pPr>
    </w:p>
    <w:p w:rsidR="00A93B42" w:rsidRPr="00A93B42" w:rsidRDefault="00A93B42" w:rsidP="00A93B42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2"/>
      </w:pPr>
      <w:bookmarkStart w:id="4" w:name="_Toc166999303"/>
      <w:r w:rsidRPr="00A93B42">
        <w:rPr>
          <w:b/>
          <w:bCs/>
        </w:rPr>
        <w:t xml:space="preserve">Oznaczanie aktywności aminotransferazy asparaginianowej </w:t>
      </w:r>
      <w:r w:rsidRPr="00A93B42">
        <w:rPr>
          <w:b/>
          <w:bCs/>
        </w:rPr>
        <w:br/>
        <w:t>i alaninowej w surowicy krwi metodą Retmana i Frankela</w:t>
      </w:r>
      <w:bookmarkEnd w:id="4"/>
    </w:p>
    <w:p w:rsidR="00A93B42" w:rsidRPr="00A93B42" w:rsidRDefault="00A93B42" w:rsidP="00A93B42">
      <w:pPr>
        <w:rPr>
          <w:b/>
          <w:iCs/>
          <w:smallCaps/>
        </w:rPr>
      </w:pPr>
    </w:p>
    <w:p w:rsidR="00A93B42" w:rsidRPr="00A93B42" w:rsidRDefault="00A93B42" w:rsidP="00A93B42">
      <w:pPr>
        <w:rPr>
          <w:b/>
          <w:iCs/>
          <w:smallCaps/>
        </w:rPr>
      </w:pPr>
    </w:p>
    <w:p w:rsidR="00A93B42" w:rsidRPr="00A93B42" w:rsidRDefault="00A93B42" w:rsidP="00A93B42">
      <w:pPr>
        <w:rPr>
          <w:i/>
          <w:iCs/>
          <w:u w:val="single"/>
        </w:rPr>
      </w:pPr>
      <w:r w:rsidRPr="00A93B42">
        <w:rPr>
          <w:i/>
          <w:iCs/>
          <w:u w:val="single"/>
        </w:rPr>
        <w:t>Wstęp</w:t>
      </w:r>
    </w:p>
    <w:p w:rsidR="00A93B42" w:rsidRPr="00A93B42" w:rsidRDefault="00A93B42" w:rsidP="00A93B42">
      <w:pPr>
        <w:rPr>
          <w:i/>
          <w:iCs/>
          <w:u w:val="single"/>
        </w:rPr>
      </w:pPr>
    </w:p>
    <w:p w:rsidR="00A93B42" w:rsidRPr="00A93B42" w:rsidRDefault="00A93B42" w:rsidP="00A93B42">
      <w:pPr>
        <w:jc w:val="both"/>
        <w:rPr>
          <w:bCs/>
        </w:rPr>
      </w:pPr>
      <w:r w:rsidRPr="00A93B42">
        <w:rPr>
          <w:szCs w:val="18"/>
        </w:rPr>
        <w:t>Aminotransferazy</w:t>
      </w:r>
      <w:r w:rsidRPr="00A93B42">
        <w:rPr>
          <w:bCs/>
          <w:szCs w:val="18"/>
        </w:rPr>
        <w:t>:</w:t>
      </w:r>
      <w:r w:rsidRPr="00A93B42">
        <w:rPr>
          <w:b/>
          <w:bCs/>
          <w:szCs w:val="18"/>
        </w:rPr>
        <w:t xml:space="preserve"> asparaginianowa (AST, AspAt, GOT) i alaninowa  (ALT AlAT, GPT)</w:t>
      </w:r>
      <w:r w:rsidRPr="00A93B42">
        <w:rPr>
          <w:szCs w:val="18"/>
        </w:rPr>
        <w:t xml:space="preserve">, popularnie nazywane transaminazami, to enzymy z klasy transferaz, katalizujące reakcję przenoszenia grup </w:t>
      </w:r>
      <w:r w:rsidRPr="00A93B42">
        <w:t xml:space="preserve">aminowych z </w:t>
      </w:r>
      <w:r w:rsidRPr="00A93B42">
        <w:sym w:font="Symbol" w:char="F061"/>
      </w:r>
      <w:r w:rsidRPr="00A93B42">
        <w:t xml:space="preserve">-aminokwasów na odpowiednie ketokwasy. Nazwę enzymu wyprowadza się od nazwy aminokwasu użytego jako substratu reakcji. </w:t>
      </w:r>
      <w:r w:rsidRPr="00A93B42">
        <w:rPr>
          <w:szCs w:val="18"/>
        </w:rPr>
        <w:t xml:space="preserve">W organizmie występują m.in. w komórkach wątrobowych i mięśniowych. Aktywność aminotransferaz jest wykorzystywana w diagnostyce schorzeń organizmu, może być wskaźnikiem procesów chorobowych, zapalnych lub martwiczych, np. </w:t>
      </w:r>
      <w:r w:rsidRPr="00A93B42">
        <w:rPr>
          <w:bCs/>
        </w:rPr>
        <w:t>aktywność obu aminotransfraz AST i ALT wzrasta w chorobach miąższowych wątroby (20-25x), w żółtaczce mechanicznej (do 5x), wskaźnik de Ritisa (</w:t>
      </w:r>
      <w:r w:rsidRPr="00A93B42">
        <w:rPr>
          <w:color w:val="000000"/>
        </w:rPr>
        <w:t>stosunek aktywności AST /ALT)</w:t>
      </w:r>
      <w:r w:rsidRPr="00A93B42">
        <w:rPr>
          <w:bCs/>
        </w:rPr>
        <w:t xml:space="preserve"> &gt; 1 świadczy o obecnym w organizmie procesie martwiczym.</w:t>
      </w:r>
    </w:p>
    <w:p w:rsidR="00A93B42" w:rsidRPr="00A93B42" w:rsidRDefault="00A93B42" w:rsidP="00A93B42">
      <w:pPr>
        <w:jc w:val="both"/>
        <w:rPr>
          <w:bCs/>
        </w:rPr>
      </w:pPr>
    </w:p>
    <w:p w:rsidR="00A93B42" w:rsidRDefault="00A93B42" w:rsidP="00A93B42"/>
    <w:p w:rsidR="00A93B42" w:rsidRDefault="00A93B42" w:rsidP="00A93B42"/>
    <w:p w:rsidR="00A93B42" w:rsidRDefault="00A93B42" w:rsidP="00A93B42"/>
    <w:p w:rsidR="00A93B42" w:rsidRDefault="00A93B42" w:rsidP="00A93B42"/>
    <w:p w:rsidR="00A93B42" w:rsidRDefault="00A93B42" w:rsidP="00A93B42"/>
    <w:p w:rsidR="00A93B42" w:rsidRDefault="00A93B42" w:rsidP="00A93B42"/>
    <w:p w:rsidR="00A93B42" w:rsidRPr="00A93B42" w:rsidRDefault="00A93B42" w:rsidP="00A93B42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2"/>
      </w:pPr>
      <w:bookmarkStart w:id="5" w:name="_Toc166999316"/>
      <w:r w:rsidRPr="00A93B42">
        <w:rPr>
          <w:b/>
          <w:bCs/>
        </w:rPr>
        <w:t>Ilościowe oznaczanie glukozy</w:t>
      </w:r>
      <w:bookmarkEnd w:id="5"/>
    </w:p>
    <w:p w:rsidR="00A93B42" w:rsidRPr="00A93B42" w:rsidRDefault="00A93B42" w:rsidP="00A93B42">
      <w:pPr>
        <w:jc w:val="both"/>
        <w:rPr>
          <w:i/>
          <w:u w:val="single"/>
        </w:rPr>
      </w:pPr>
    </w:p>
    <w:p w:rsidR="00A93B42" w:rsidRPr="00A93B42" w:rsidRDefault="00A93B42" w:rsidP="00A93B42">
      <w:pPr>
        <w:jc w:val="both"/>
        <w:rPr>
          <w:i/>
          <w:u w:val="single"/>
        </w:rPr>
      </w:pPr>
    </w:p>
    <w:p w:rsidR="00A93B42" w:rsidRPr="00A93B42" w:rsidRDefault="00A93B42" w:rsidP="00A93B42">
      <w:pPr>
        <w:jc w:val="both"/>
        <w:rPr>
          <w:i/>
          <w:u w:val="single"/>
        </w:rPr>
      </w:pPr>
      <w:r w:rsidRPr="00A93B42">
        <w:rPr>
          <w:i/>
          <w:u w:val="single"/>
        </w:rPr>
        <w:t>Wstęp</w:t>
      </w:r>
    </w:p>
    <w:p w:rsidR="00A93B42" w:rsidRPr="00A93B42" w:rsidRDefault="00A93B42" w:rsidP="00A93B42">
      <w:pPr>
        <w:jc w:val="both"/>
      </w:pPr>
    </w:p>
    <w:p w:rsidR="00A93B42" w:rsidRPr="00A93B42" w:rsidRDefault="00A93B42" w:rsidP="00A93B42">
      <w:pPr>
        <w:jc w:val="both"/>
      </w:pPr>
      <w:r w:rsidRPr="00A93B42">
        <w:t>Glukoza jest głównym źródłem energii w organizmie. Insulina produkowana przez komórki wyspowe w trzustce ułatwia przenikanie glukozy do komórek tkankowych. Niedobór insuliny lub spadek jej aktywności powoduje podwyższenie poziomu glukozy we krwi.</w:t>
      </w:r>
    </w:p>
    <w:p w:rsidR="00A93B42" w:rsidRPr="00A93B42" w:rsidRDefault="00A93B42" w:rsidP="00A93B42">
      <w:pPr>
        <w:jc w:val="both"/>
      </w:pPr>
      <w:r w:rsidRPr="00A93B42">
        <w:t>Podwyższone stężenie glukozy w surowicy lub osoczu występuje w cukrzycy typu I (zależnej od insuliny), cukrzycy typu II (niezależnej od insuliny) i innych stanach patologicznych oraz zespołach chorobowych.</w:t>
      </w:r>
    </w:p>
    <w:p w:rsidR="00A93B42" w:rsidRPr="00A93B42" w:rsidRDefault="00A93B42" w:rsidP="00A93B42">
      <w:pPr>
        <w:jc w:val="both"/>
      </w:pPr>
      <w:r w:rsidRPr="00A93B42">
        <w:t>Hipoglikemia może być następstwem jadłowstrętu, stosowania leków, wpływu trucizn, wrodzonych wad przemiany materii i przebytych operacji żołądka.</w:t>
      </w:r>
    </w:p>
    <w:p w:rsidR="00A93B42" w:rsidRPr="00A93B42" w:rsidRDefault="00A93B42" w:rsidP="00A93B42">
      <w:pPr>
        <w:jc w:val="both"/>
      </w:pPr>
      <w:r w:rsidRPr="00A93B42">
        <w:t>Diagnoza kliniczna nie powinna być stawiana na podstawie wyników pojedynczego badania, ale powinna łączyć zarówno dane kliniczne jak i laboratoryjne.</w:t>
      </w:r>
    </w:p>
    <w:p w:rsidR="00A93B42" w:rsidRPr="00A93B42" w:rsidRDefault="00A93B42" w:rsidP="00A93B42">
      <w:pPr>
        <w:jc w:val="both"/>
      </w:pPr>
    </w:p>
    <w:p w:rsidR="00A93B42" w:rsidRPr="00A93B42" w:rsidRDefault="00A93B42" w:rsidP="00A93B42">
      <w:pPr>
        <w:jc w:val="both"/>
      </w:pPr>
    </w:p>
    <w:p w:rsidR="00A93B42" w:rsidRPr="00A93B42" w:rsidRDefault="00A93B42" w:rsidP="00A93B42">
      <w:pPr>
        <w:jc w:val="both"/>
        <w:rPr>
          <w:bCs/>
          <w:i/>
          <w:iCs/>
          <w:u w:val="single"/>
        </w:rPr>
      </w:pPr>
      <w:r w:rsidRPr="00A93B42">
        <w:rPr>
          <w:bCs/>
          <w:i/>
          <w:iCs/>
          <w:u w:val="single"/>
        </w:rPr>
        <w:t>Materiał do badań</w:t>
      </w:r>
    </w:p>
    <w:p w:rsidR="00A93B42" w:rsidRPr="00A93B42" w:rsidRDefault="00A93B42" w:rsidP="00A93B42">
      <w:pPr>
        <w:jc w:val="both"/>
        <w:rPr>
          <w:bCs/>
          <w:i/>
          <w:iCs/>
          <w:u w:val="single"/>
        </w:rPr>
      </w:pPr>
    </w:p>
    <w:p w:rsidR="00A93B42" w:rsidRPr="00A93B42" w:rsidRDefault="00A93B42" w:rsidP="00A93B42">
      <w:pPr>
        <w:jc w:val="both"/>
      </w:pPr>
      <w:r w:rsidRPr="00A93B42">
        <w:lastRenderedPageBreak/>
        <w:t>Surowica lub osocze pobrane zgodnie ze standardowymi procedurami. Surowica lub osocze muszą być szybko oddzielone od krwinek czerwonych, aby zapobiec glikolizie. Dodanie do próbki krwi fluorku sodu zapobiega glikolizie.</w:t>
      </w:r>
    </w:p>
    <w:p w:rsidR="00A93B42" w:rsidRPr="00A93B42" w:rsidRDefault="00A93B42" w:rsidP="00A93B42">
      <w:pPr>
        <w:jc w:val="both"/>
      </w:pPr>
      <w:r w:rsidRPr="00A93B42">
        <w:t>Glukoza w surowicy lub osoczu jest stabilna przez 5 dni w temp. 2-</w:t>
      </w:r>
      <w:smartTag w:uri="urn:schemas-microsoft-com:office:smarttags" w:element="metricconverter">
        <w:smartTagPr>
          <w:attr w:name="ProductID" w:val="8ﾰC"/>
        </w:smartTagPr>
        <w:r w:rsidRPr="00A93B42">
          <w:t>8°C</w:t>
        </w:r>
      </w:smartTag>
      <w:r w:rsidRPr="00A93B42">
        <w:t>. Heparyna, EDTA, szczawiany i fluorki mogą być używane jako antykoagulanty.</w:t>
      </w:r>
    </w:p>
    <w:p w:rsidR="00A93B42" w:rsidRPr="00A93B42" w:rsidRDefault="00A93B42" w:rsidP="00A93B42">
      <w:pPr>
        <w:jc w:val="both"/>
      </w:pPr>
    </w:p>
    <w:p w:rsidR="00A93B42" w:rsidRPr="00A93B42" w:rsidRDefault="00A93B42" w:rsidP="00A93B42">
      <w:pPr>
        <w:jc w:val="both"/>
      </w:pPr>
    </w:p>
    <w:p w:rsidR="00A93B42" w:rsidRPr="00A93B42" w:rsidRDefault="00A93B42" w:rsidP="00A93B42">
      <w:pPr>
        <w:jc w:val="both"/>
        <w:rPr>
          <w:bCs/>
          <w:i/>
          <w:iCs/>
          <w:u w:val="single"/>
        </w:rPr>
      </w:pPr>
      <w:r w:rsidRPr="00A93B42">
        <w:rPr>
          <w:bCs/>
          <w:i/>
          <w:iCs/>
          <w:u w:val="single"/>
        </w:rPr>
        <w:t>Zasada metody</w:t>
      </w:r>
    </w:p>
    <w:p w:rsidR="00A93B42" w:rsidRPr="00A93B42" w:rsidRDefault="00A93B42" w:rsidP="00A93B42">
      <w:pPr>
        <w:jc w:val="both"/>
        <w:rPr>
          <w:bCs/>
          <w:i/>
          <w:iCs/>
          <w:u w:val="single"/>
        </w:rPr>
      </w:pPr>
    </w:p>
    <w:p w:rsidR="00A93B42" w:rsidRPr="00A93B42" w:rsidRDefault="00A93B42" w:rsidP="00A93B42">
      <w:pPr>
        <w:jc w:val="both"/>
      </w:pPr>
      <w:r w:rsidRPr="00A93B42">
        <w:t>Glukoza w próbie badanej ulega pod wpływem oksydazy glukozowej reakcji utlenienia do kwasu glukonowego (ryc. 10.2). Nadtlenek wodoru reaguje z 4-aminoantypiryną tworząc barwny związek, którego stężenie można zmierzyć spektrofotometrycznie.</w:t>
      </w:r>
    </w:p>
    <w:p w:rsidR="00A93B42" w:rsidRPr="00A93B42" w:rsidRDefault="00A93B42" w:rsidP="00A93B42">
      <w:pPr>
        <w:jc w:val="both"/>
        <w:rPr>
          <w:u w:val="single"/>
        </w:rPr>
      </w:pPr>
    </w:p>
    <w:p w:rsidR="00A93B42" w:rsidRPr="00A93B42" w:rsidRDefault="00A93B42" w:rsidP="00A93B42">
      <w:pPr>
        <w:jc w:val="center"/>
        <w:rPr>
          <w:i/>
          <w:u w:val="single"/>
        </w:rPr>
      </w:pPr>
      <w:r w:rsidRPr="00A93B42">
        <w:rPr>
          <w:noProof/>
          <w:lang w:val="en-US" w:eastAsia="en-US"/>
        </w:rPr>
        <w:drawing>
          <wp:inline distT="0" distB="0" distL="0" distR="0">
            <wp:extent cx="5400675" cy="1047750"/>
            <wp:effectExtent l="0" t="0" r="9525" b="0"/>
            <wp:docPr id="3" name="Obraz 3" descr="Krew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rew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B42" w:rsidRPr="00A93B42" w:rsidRDefault="00A93B42" w:rsidP="00A93B42">
      <w:pPr>
        <w:jc w:val="both"/>
        <w:rPr>
          <w:i/>
          <w:u w:val="single"/>
        </w:rPr>
      </w:pPr>
    </w:p>
    <w:p w:rsidR="00A93B42" w:rsidRPr="00A93B42" w:rsidRDefault="00A93B42" w:rsidP="00A93B42">
      <w:pPr>
        <w:jc w:val="both"/>
      </w:pPr>
      <w:r w:rsidRPr="00A93B42">
        <w:rPr>
          <w:b/>
        </w:rPr>
        <w:t>Ryc. 10.2.</w:t>
      </w:r>
      <w:r w:rsidRPr="00A93B42">
        <w:t xml:space="preserve"> Zasada oznaczania glukozy metodą enzymatyczną</w:t>
      </w:r>
    </w:p>
    <w:p w:rsidR="00A93B42" w:rsidRPr="00A93B42" w:rsidRDefault="00A93B42" w:rsidP="00A93B42">
      <w:pPr>
        <w:jc w:val="both"/>
      </w:pPr>
    </w:p>
    <w:p w:rsidR="00A93B42" w:rsidRPr="00A93B42" w:rsidRDefault="00A93B42" w:rsidP="00A93B42">
      <w:pPr>
        <w:jc w:val="both"/>
      </w:pPr>
    </w:p>
    <w:p w:rsidR="00A93B42" w:rsidRPr="00A93B42" w:rsidRDefault="00A93B42" w:rsidP="00A93B42">
      <w:pPr>
        <w:jc w:val="both"/>
        <w:rPr>
          <w:bCs/>
          <w:i/>
          <w:iCs/>
          <w:u w:val="single"/>
        </w:rPr>
      </w:pPr>
      <w:r w:rsidRPr="00A93B42">
        <w:rPr>
          <w:bCs/>
          <w:i/>
          <w:iCs/>
          <w:u w:val="single"/>
        </w:rPr>
        <w:t>Wykonanie</w:t>
      </w:r>
    </w:p>
    <w:p w:rsidR="00A93B42" w:rsidRPr="00A93B42" w:rsidRDefault="00A93B42" w:rsidP="00A93B42">
      <w:pPr>
        <w:jc w:val="both"/>
        <w:rPr>
          <w:b/>
          <w:bCs/>
          <w:iCs/>
        </w:rPr>
      </w:pPr>
    </w:p>
    <w:p w:rsidR="00A93B42" w:rsidRPr="00A93B42" w:rsidRDefault="00A93B42" w:rsidP="00A93B42">
      <w:pPr>
        <w:numPr>
          <w:ilvl w:val="0"/>
          <w:numId w:val="10"/>
        </w:numPr>
        <w:jc w:val="both"/>
      </w:pPr>
      <w:r w:rsidRPr="00A93B42">
        <w:t>Odpipetować do oznaczonych probówek w/g poniższej tabeli:</w:t>
      </w:r>
    </w:p>
    <w:p w:rsidR="00A93B42" w:rsidRPr="00A93B42" w:rsidRDefault="00A93B42" w:rsidP="00A93B42">
      <w:pPr>
        <w:ind w:left="1080"/>
        <w:jc w:val="both"/>
      </w:pPr>
    </w:p>
    <w:tbl>
      <w:tblPr>
        <w:tblStyle w:val="Tabela-Motyw"/>
        <w:tblW w:w="9072" w:type="dxa"/>
        <w:jc w:val="center"/>
        <w:tblLook w:val="0000" w:firstRow="0" w:lastRow="0" w:firstColumn="0" w:lastColumn="0" w:noHBand="0" w:noVBand="0"/>
      </w:tblPr>
      <w:tblGrid>
        <w:gridCol w:w="2361"/>
        <w:gridCol w:w="2403"/>
        <w:gridCol w:w="2286"/>
        <w:gridCol w:w="2022"/>
      </w:tblGrid>
      <w:tr w:rsidR="00A93B42" w:rsidRPr="00A93B42" w:rsidTr="00EF0CC3">
        <w:trPr>
          <w:trHeight w:val="375"/>
          <w:jc w:val="center"/>
        </w:trPr>
        <w:tc>
          <w:tcPr>
            <w:tcW w:w="2269" w:type="dxa"/>
            <w:tcBorders>
              <w:top w:val="single" w:sz="12" w:space="0" w:color="auto"/>
              <w:bottom w:val="single" w:sz="8" w:space="0" w:color="auto"/>
            </w:tcBorders>
            <w:shd w:val="clear" w:color="auto" w:fill="E0E0E0"/>
            <w:vAlign w:val="center"/>
          </w:tcPr>
          <w:p w:rsidR="00A93B42" w:rsidRPr="00A93B42" w:rsidRDefault="00A93B42" w:rsidP="00A93B42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12" w:space="0" w:color="auto"/>
              <w:bottom w:val="single" w:sz="8" w:space="0" w:color="auto"/>
            </w:tcBorders>
            <w:shd w:val="clear" w:color="auto" w:fill="E0E0E0"/>
            <w:vAlign w:val="center"/>
          </w:tcPr>
          <w:p w:rsidR="00A93B42" w:rsidRPr="00A93B42" w:rsidRDefault="00A93B42" w:rsidP="00A93B42">
            <w:pPr>
              <w:jc w:val="center"/>
              <w:rPr>
                <w:b/>
                <w:sz w:val="22"/>
                <w:szCs w:val="22"/>
              </w:rPr>
            </w:pPr>
            <w:r w:rsidRPr="00A93B42">
              <w:rPr>
                <w:b/>
                <w:sz w:val="22"/>
                <w:szCs w:val="22"/>
              </w:rPr>
              <w:t>Próba ślepa</w:t>
            </w:r>
          </w:p>
        </w:tc>
        <w:tc>
          <w:tcPr>
            <w:tcW w:w="2197" w:type="dxa"/>
            <w:tcBorders>
              <w:top w:val="single" w:sz="12" w:space="0" w:color="auto"/>
              <w:bottom w:val="single" w:sz="8" w:space="0" w:color="auto"/>
            </w:tcBorders>
            <w:shd w:val="clear" w:color="auto" w:fill="E0E0E0"/>
            <w:vAlign w:val="center"/>
          </w:tcPr>
          <w:p w:rsidR="00A93B42" w:rsidRPr="00A93B42" w:rsidRDefault="00A93B42" w:rsidP="00A93B42">
            <w:pPr>
              <w:jc w:val="center"/>
              <w:rPr>
                <w:b/>
                <w:sz w:val="22"/>
                <w:szCs w:val="22"/>
              </w:rPr>
            </w:pPr>
            <w:r w:rsidRPr="00A93B42">
              <w:rPr>
                <w:b/>
                <w:sz w:val="22"/>
                <w:szCs w:val="22"/>
              </w:rPr>
              <w:t>Próba badana</w:t>
            </w:r>
          </w:p>
        </w:tc>
        <w:tc>
          <w:tcPr>
            <w:tcW w:w="1944" w:type="dxa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A93B42" w:rsidRPr="00A93B42" w:rsidRDefault="00A93B42" w:rsidP="00A93B42">
            <w:pPr>
              <w:jc w:val="center"/>
              <w:rPr>
                <w:b/>
                <w:sz w:val="22"/>
                <w:szCs w:val="22"/>
              </w:rPr>
            </w:pPr>
            <w:r w:rsidRPr="00A93B42">
              <w:rPr>
                <w:b/>
                <w:sz w:val="22"/>
                <w:szCs w:val="22"/>
              </w:rPr>
              <w:t>Standard</w:t>
            </w:r>
          </w:p>
        </w:tc>
      </w:tr>
      <w:tr w:rsidR="00A93B42" w:rsidRPr="00A93B42" w:rsidTr="00EF0CC3">
        <w:trPr>
          <w:trHeight w:val="385"/>
          <w:jc w:val="center"/>
        </w:trPr>
        <w:tc>
          <w:tcPr>
            <w:tcW w:w="2269" w:type="dxa"/>
            <w:tcBorders>
              <w:top w:val="single" w:sz="12" w:space="0" w:color="auto"/>
            </w:tcBorders>
            <w:vAlign w:val="center"/>
          </w:tcPr>
          <w:p w:rsidR="00A93B42" w:rsidRPr="00A93B42" w:rsidRDefault="00A93B42" w:rsidP="00A93B42">
            <w:pPr>
              <w:rPr>
                <w:b/>
                <w:sz w:val="22"/>
                <w:szCs w:val="22"/>
              </w:rPr>
            </w:pPr>
            <w:r w:rsidRPr="00A93B42">
              <w:rPr>
                <w:b/>
                <w:sz w:val="22"/>
                <w:szCs w:val="22"/>
              </w:rPr>
              <w:t>Surowica</w:t>
            </w:r>
          </w:p>
        </w:tc>
        <w:tc>
          <w:tcPr>
            <w:tcW w:w="2310" w:type="dxa"/>
            <w:tcBorders>
              <w:top w:val="single" w:sz="12" w:space="0" w:color="auto"/>
            </w:tcBorders>
            <w:vAlign w:val="center"/>
          </w:tcPr>
          <w:p w:rsidR="00A93B42" w:rsidRPr="00A93B42" w:rsidRDefault="00A93B42" w:rsidP="00A93B42">
            <w:pPr>
              <w:jc w:val="center"/>
              <w:rPr>
                <w:sz w:val="22"/>
                <w:szCs w:val="22"/>
              </w:rPr>
            </w:pPr>
            <w:r w:rsidRPr="00A93B42">
              <w:rPr>
                <w:sz w:val="22"/>
                <w:szCs w:val="22"/>
              </w:rPr>
              <w:t>--</w:t>
            </w:r>
          </w:p>
        </w:tc>
        <w:tc>
          <w:tcPr>
            <w:tcW w:w="2197" w:type="dxa"/>
            <w:tcBorders>
              <w:top w:val="single" w:sz="12" w:space="0" w:color="auto"/>
            </w:tcBorders>
            <w:vAlign w:val="center"/>
          </w:tcPr>
          <w:p w:rsidR="00A93B42" w:rsidRPr="00A93B42" w:rsidRDefault="00A93B42" w:rsidP="00A93B42">
            <w:pPr>
              <w:jc w:val="center"/>
              <w:rPr>
                <w:sz w:val="22"/>
                <w:szCs w:val="22"/>
              </w:rPr>
            </w:pPr>
            <w:r w:rsidRPr="00A93B42">
              <w:rPr>
                <w:sz w:val="22"/>
                <w:szCs w:val="22"/>
              </w:rPr>
              <w:t>10 μl</w:t>
            </w:r>
          </w:p>
        </w:tc>
        <w:tc>
          <w:tcPr>
            <w:tcW w:w="1944" w:type="dxa"/>
            <w:tcBorders>
              <w:top w:val="single" w:sz="12" w:space="0" w:color="auto"/>
            </w:tcBorders>
            <w:vAlign w:val="center"/>
          </w:tcPr>
          <w:p w:rsidR="00A93B42" w:rsidRPr="00A93B42" w:rsidRDefault="00A93B42" w:rsidP="00A93B42">
            <w:pPr>
              <w:jc w:val="center"/>
              <w:rPr>
                <w:sz w:val="22"/>
                <w:szCs w:val="22"/>
              </w:rPr>
            </w:pPr>
            <w:r w:rsidRPr="00A93B42">
              <w:rPr>
                <w:sz w:val="22"/>
                <w:szCs w:val="22"/>
              </w:rPr>
              <w:t>--</w:t>
            </w:r>
          </w:p>
        </w:tc>
      </w:tr>
      <w:tr w:rsidR="00A93B42" w:rsidRPr="00A93B42" w:rsidTr="00EF0CC3">
        <w:trPr>
          <w:trHeight w:val="533"/>
          <w:jc w:val="center"/>
        </w:trPr>
        <w:tc>
          <w:tcPr>
            <w:tcW w:w="2269" w:type="dxa"/>
            <w:vAlign w:val="center"/>
          </w:tcPr>
          <w:p w:rsidR="00A93B42" w:rsidRPr="00A93B42" w:rsidRDefault="00A93B42" w:rsidP="00A93B42">
            <w:pPr>
              <w:rPr>
                <w:b/>
                <w:sz w:val="22"/>
                <w:szCs w:val="22"/>
              </w:rPr>
            </w:pPr>
            <w:r w:rsidRPr="00A93B42">
              <w:rPr>
                <w:b/>
                <w:sz w:val="22"/>
                <w:szCs w:val="22"/>
              </w:rPr>
              <w:t>Roztwór wzorcowy</w:t>
            </w:r>
          </w:p>
          <w:p w:rsidR="00A93B42" w:rsidRPr="00A93B42" w:rsidRDefault="00A93B42" w:rsidP="00A93B42">
            <w:pPr>
              <w:rPr>
                <w:b/>
                <w:sz w:val="22"/>
                <w:szCs w:val="22"/>
              </w:rPr>
            </w:pPr>
            <w:r w:rsidRPr="00A93B42">
              <w:rPr>
                <w:b/>
                <w:sz w:val="22"/>
                <w:szCs w:val="22"/>
              </w:rPr>
              <w:t>glukozy 100 mg/dl</w:t>
            </w:r>
          </w:p>
        </w:tc>
        <w:tc>
          <w:tcPr>
            <w:tcW w:w="2310" w:type="dxa"/>
            <w:vAlign w:val="center"/>
          </w:tcPr>
          <w:p w:rsidR="00A93B42" w:rsidRPr="00A93B42" w:rsidRDefault="00A93B42" w:rsidP="00A93B42">
            <w:pPr>
              <w:jc w:val="center"/>
              <w:rPr>
                <w:sz w:val="22"/>
                <w:szCs w:val="22"/>
              </w:rPr>
            </w:pPr>
            <w:r w:rsidRPr="00A93B42">
              <w:rPr>
                <w:sz w:val="22"/>
                <w:szCs w:val="22"/>
              </w:rPr>
              <w:t>--</w:t>
            </w:r>
          </w:p>
        </w:tc>
        <w:tc>
          <w:tcPr>
            <w:tcW w:w="2197" w:type="dxa"/>
            <w:vAlign w:val="center"/>
          </w:tcPr>
          <w:p w:rsidR="00A93B42" w:rsidRPr="00A93B42" w:rsidRDefault="00A93B42" w:rsidP="00A93B42">
            <w:pPr>
              <w:jc w:val="center"/>
              <w:rPr>
                <w:sz w:val="22"/>
                <w:szCs w:val="22"/>
              </w:rPr>
            </w:pPr>
            <w:r w:rsidRPr="00A93B42">
              <w:rPr>
                <w:sz w:val="22"/>
                <w:szCs w:val="22"/>
              </w:rPr>
              <w:t>--</w:t>
            </w:r>
          </w:p>
        </w:tc>
        <w:tc>
          <w:tcPr>
            <w:tcW w:w="1944" w:type="dxa"/>
            <w:vAlign w:val="center"/>
          </w:tcPr>
          <w:p w:rsidR="00A93B42" w:rsidRPr="00A93B42" w:rsidRDefault="00A93B42" w:rsidP="00A93B42">
            <w:pPr>
              <w:jc w:val="center"/>
              <w:rPr>
                <w:sz w:val="22"/>
                <w:szCs w:val="22"/>
              </w:rPr>
            </w:pPr>
            <w:r w:rsidRPr="00A93B42">
              <w:rPr>
                <w:sz w:val="22"/>
                <w:szCs w:val="22"/>
              </w:rPr>
              <w:t>10 µl</w:t>
            </w:r>
          </w:p>
        </w:tc>
      </w:tr>
      <w:tr w:rsidR="00A93B42" w:rsidRPr="00A93B42" w:rsidTr="00EF0CC3">
        <w:trPr>
          <w:trHeight w:val="345"/>
          <w:jc w:val="center"/>
        </w:trPr>
        <w:tc>
          <w:tcPr>
            <w:tcW w:w="2269" w:type="dxa"/>
            <w:tcBorders>
              <w:bottom w:val="single" w:sz="12" w:space="0" w:color="auto"/>
            </w:tcBorders>
            <w:vAlign w:val="center"/>
          </w:tcPr>
          <w:p w:rsidR="00A93B42" w:rsidRPr="00A93B42" w:rsidRDefault="00A93B42" w:rsidP="00A93B42">
            <w:pPr>
              <w:rPr>
                <w:b/>
                <w:sz w:val="22"/>
                <w:szCs w:val="22"/>
              </w:rPr>
            </w:pPr>
            <w:r w:rsidRPr="00A93B42">
              <w:rPr>
                <w:b/>
                <w:sz w:val="22"/>
                <w:szCs w:val="22"/>
              </w:rPr>
              <w:t>Odczynnik A</w:t>
            </w:r>
          </w:p>
        </w:tc>
        <w:tc>
          <w:tcPr>
            <w:tcW w:w="2310" w:type="dxa"/>
            <w:tcBorders>
              <w:bottom w:val="single" w:sz="12" w:space="0" w:color="auto"/>
            </w:tcBorders>
            <w:vAlign w:val="center"/>
          </w:tcPr>
          <w:p w:rsidR="00A93B42" w:rsidRPr="00A93B42" w:rsidRDefault="00A93B42" w:rsidP="00A93B42">
            <w:pPr>
              <w:jc w:val="center"/>
              <w:rPr>
                <w:sz w:val="22"/>
                <w:szCs w:val="22"/>
              </w:rPr>
            </w:pPr>
            <w:r w:rsidRPr="00A93B42">
              <w:rPr>
                <w:sz w:val="22"/>
                <w:szCs w:val="22"/>
              </w:rPr>
              <w:t>1.0 ml</w:t>
            </w:r>
          </w:p>
        </w:tc>
        <w:tc>
          <w:tcPr>
            <w:tcW w:w="2197" w:type="dxa"/>
            <w:tcBorders>
              <w:bottom w:val="single" w:sz="12" w:space="0" w:color="auto"/>
            </w:tcBorders>
            <w:vAlign w:val="center"/>
          </w:tcPr>
          <w:p w:rsidR="00A93B42" w:rsidRPr="00A93B42" w:rsidRDefault="00A93B42" w:rsidP="00A93B42">
            <w:pPr>
              <w:jc w:val="center"/>
              <w:rPr>
                <w:sz w:val="22"/>
                <w:szCs w:val="22"/>
              </w:rPr>
            </w:pPr>
            <w:r w:rsidRPr="00A93B42">
              <w:rPr>
                <w:sz w:val="22"/>
                <w:szCs w:val="22"/>
              </w:rPr>
              <w:t>1.0 ml</w:t>
            </w:r>
          </w:p>
        </w:tc>
        <w:tc>
          <w:tcPr>
            <w:tcW w:w="1944" w:type="dxa"/>
            <w:tcBorders>
              <w:bottom w:val="single" w:sz="12" w:space="0" w:color="auto"/>
            </w:tcBorders>
            <w:vAlign w:val="center"/>
          </w:tcPr>
          <w:p w:rsidR="00A93B42" w:rsidRPr="00A93B42" w:rsidRDefault="00A93B42" w:rsidP="00A93B42">
            <w:pPr>
              <w:jc w:val="center"/>
              <w:rPr>
                <w:sz w:val="22"/>
                <w:szCs w:val="22"/>
              </w:rPr>
            </w:pPr>
            <w:r w:rsidRPr="00A93B42">
              <w:rPr>
                <w:sz w:val="22"/>
                <w:szCs w:val="22"/>
              </w:rPr>
              <w:t>1.0 ml</w:t>
            </w:r>
          </w:p>
        </w:tc>
      </w:tr>
    </w:tbl>
    <w:p w:rsidR="00A93B42" w:rsidRPr="00A93B42" w:rsidRDefault="00A93B42" w:rsidP="00A93B42">
      <w:pPr>
        <w:jc w:val="both"/>
        <w:rPr>
          <w:i/>
          <w:u w:val="single"/>
        </w:rPr>
      </w:pPr>
    </w:p>
    <w:p w:rsidR="00A93B42" w:rsidRPr="00A93B42" w:rsidRDefault="00A93B42" w:rsidP="00A93B42">
      <w:pPr>
        <w:numPr>
          <w:ilvl w:val="0"/>
          <w:numId w:val="10"/>
        </w:numPr>
        <w:jc w:val="both"/>
      </w:pPr>
      <w:r w:rsidRPr="00A93B42">
        <w:t>Wymieszać i inkubować probówki przez 10 min w temp. pokojowej.</w:t>
      </w:r>
    </w:p>
    <w:p w:rsidR="00A93B42" w:rsidRPr="00A93B42" w:rsidRDefault="00A93B42" w:rsidP="00A93B42">
      <w:pPr>
        <w:numPr>
          <w:ilvl w:val="0"/>
          <w:numId w:val="10"/>
        </w:numPr>
        <w:jc w:val="both"/>
      </w:pPr>
      <w:r w:rsidRPr="00A93B42">
        <w:t xml:space="preserve">Zmierzyć absorbancję  próby badanej i wzorcowej (standard) przy długości fali odczytu = 500 nm, wobec próby ślepej. </w:t>
      </w:r>
    </w:p>
    <w:p w:rsidR="00A93B42" w:rsidRPr="00A93B42" w:rsidRDefault="00A93B42" w:rsidP="00A93B42">
      <w:pPr>
        <w:jc w:val="both"/>
      </w:pPr>
    </w:p>
    <w:p w:rsidR="00A93B42" w:rsidRPr="00A93B42" w:rsidRDefault="00A93B42" w:rsidP="00A93B42">
      <w:pPr>
        <w:jc w:val="both"/>
      </w:pPr>
    </w:p>
    <w:p w:rsidR="00A93B42" w:rsidRPr="00A93B42" w:rsidRDefault="00A93B42" w:rsidP="00A93B42">
      <w:pPr>
        <w:jc w:val="both"/>
        <w:rPr>
          <w:bCs/>
          <w:i/>
          <w:iCs/>
          <w:u w:val="single"/>
        </w:rPr>
      </w:pPr>
      <w:r w:rsidRPr="00A93B42">
        <w:rPr>
          <w:bCs/>
          <w:i/>
          <w:iCs/>
          <w:u w:val="single"/>
        </w:rPr>
        <w:t>Obliczenia</w:t>
      </w:r>
    </w:p>
    <w:p w:rsidR="00A93B42" w:rsidRPr="00A93B42" w:rsidRDefault="00A93B42" w:rsidP="00A93B42">
      <w:pPr>
        <w:ind w:left="360"/>
        <w:jc w:val="both"/>
        <w:rPr>
          <w:b/>
          <w:bCs/>
          <w:iCs/>
        </w:rPr>
      </w:pPr>
    </w:p>
    <w:p w:rsidR="00A93B42" w:rsidRPr="00A93B42" w:rsidRDefault="00A93B42" w:rsidP="00A93B42">
      <w:pPr>
        <w:jc w:val="both"/>
      </w:pPr>
      <w:r w:rsidRPr="00A93B42">
        <w:t>Stężenie glukozy w próbie oblicza się przy zastosowaniu poniższego ogólnego wzoru:</w:t>
      </w:r>
    </w:p>
    <w:p w:rsidR="00A93B42" w:rsidRPr="00A93B42" w:rsidRDefault="00A93B42" w:rsidP="00A93B42">
      <w:pPr>
        <w:ind w:left="357"/>
        <w:jc w:val="both"/>
      </w:pPr>
    </w:p>
    <w:p w:rsidR="00A93B42" w:rsidRPr="00A93B42" w:rsidRDefault="00A93B42" w:rsidP="00A93B42">
      <w:pPr>
        <w:ind w:left="357"/>
        <w:jc w:val="both"/>
        <w:rPr>
          <w:b/>
        </w:rPr>
      </w:pPr>
      <w:r w:rsidRPr="00A93B42">
        <w:rPr>
          <w:b/>
        </w:rPr>
        <w:t xml:space="preserve">   A próby</w:t>
      </w:r>
    </w:p>
    <w:p w:rsidR="00A93B42" w:rsidRPr="00A93B42" w:rsidRDefault="00A93B42" w:rsidP="00A93B42">
      <w:pPr>
        <w:ind w:left="357"/>
        <w:jc w:val="both"/>
        <w:rPr>
          <w:b/>
        </w:rPr>
      </w:pPr>
      <w:r w:rsidRPr="00A93B42">
        <w:rPr>
          <w:b/>
        </w:rPr>
        <w:sym w:font="Symbol" w:char="F0BE"/>
      </w:r>
      <w:r w:rsidRPr="00A93B42">
        <w:rPr>
          <w:b/>
        </w:rPr>
        <w:sym w:font="Symbol" w:char="F0BE"/>
      </w:r>
      <w:r w:rsidRPr="00A93B42">
        <w:rPr>
          <w:b/>
        </w:rPr>
        <w:sym w:font="Symbol" w:char="F0BE"/>
      </w:r>
      <w:r w:rsidRPr="00A93B42">
        <w:rPr>
          <w:b/>
        </w:rPr>
        <w:sym w:font="Symbol" w:char="F0BE"/>
      </w:r>
      <w:r w:rsidRPr="00A93B42">
        <w:rPr>
          <w:b/>
        </w:rPr>
        <w:sym w:font="Symbol" w:char="F0BE"/>
      </w:r>
      <w:r w:rsidRPr="00A93B42">
        <w:rPr>
          <w:b/>
        </w:rPr>
        <w:t xml:space="preserve">    x  C standardu  = C próby</w:t>
      </w:r>
    </w:p>
    <w:p w:rsidR="00A93B42" w:rsidRPr="00A93B42" w:rsidRDefault="00A93B42" w:rsidP="00A93B42">
      <w:pPr>
        <w:ind w:left="357"/>
        <w:jc w:val="both"/>
        <w:rPr>
          <w:b/>
        </w:rPr>
      </w:pPr>
      <w:r w:rsidRPr="00A93B42">
        <w:rPr>
          <w:b/>
        </w:rPr>
        <w:t>A standardu</w:t>
      </w:r>
    </w:p>
    <w:p w:rsidR="00A93B42" w:rsidRPr="00A93B42" w:rsidRDefault="00A93B42" w:rsidP="00A93B42">
      <w:pPr>
        <w:jc w:val="both"/>
        <w:rPr>
          <w:b/>
        </w:rPr>
      </w:pPr>
      <w:r w:rsidRPr="00A93B42">
        <w:lastRenderedPageBreak/>
        <w:tab/>
      </w:r>
      <w:r w:rsidRPr="00A93B42">
        <w:tab/>
      </w:r>
    </w:p>
    <w:p w:rsidR="00A93B42" w:rsidRPr="00A93B42" w:rsidRDefault="00A93B42" w:rsidP="00A93B42">
      <w:pPr>
        <w:ind w:firstLine="357"/>
        <w:jc w:val="both"/>
        <w:rPr>
          <w:b/>
        </w:rPr>
      </w:pPr>
      <w:r w:rsidRPr="00A93B42">
        <w:rPr>
          <w:b/>
        </w:rPr>
        <w:t xml:space="preserve">   A próby</w:t>
      </w:r>
    </w:p>
    <w:p w:rsidR="00A93B42" w:rsidRPr="00A93B42" w:rsidRDefault="00A93B42" w:rsidP="00A93B42">
      <w:pPr>
        <w:jc w:val="both"/>
        <w:rPr>
          <w:b/>
        </w:rPr>
      </w:pPr>
      <w:r w:rsidRPr="00A93B42">
        <w:rPr>
          <w:b/>
        </w:rPr>
        <w:t xml:space="preserve">      </w:t>
      </w:r>
      <w:r w:rsidRPr="00A93B42">
        <w:rPr>
          <w:b/>
        </w:rPr>
        <w:sym w:font="Symbol" w:char="F0BE"/>
      </w:r>
      <w:r w:rsidRPr="00A93B42">
        <w:rPr>
          <w:b/>
        </w:rPr>
        <w:sym w:font="Symbol" w:char="F0BE"/>
      </w:r>
      <w:r w:rsidRPr="00A93B42">
        <w:rPr>
          <w:b/>
        </w:rPr>
        <w:sym w:font="Symbol" w:char="F0BE"/>
      </w:r>
      <w:r w:rsidRPr="00A93B42">
        <w:rPr>
          <w:b/>
        </w:rPr>
        <w:sym w:font="Symbol" w:char="F0BE"/>
      </w:r>
      <w:r w:rsidRPr="00A93B42">
        <w:rPr>
          <w:b/>
        </w:rPr>
        <w:sym w:font="Symbol" w:char="F0BE"/>
      </w:r>
      <w:r w:rsidRPr="00A93B42">
        <w:rPr>
          <w:b/>
        </w:rPr>
        <w:t xml:space="preserve">    x  100  =  mg/dl glukozy</w:t>
      </w:r>
    </w:p>
    <w:p w:rsidR="00A93B42" w:rsidRPr="00A93B42" w:rsidRDefault="00A93B42" w:rsidP="00A93B42">
      <w:pPr>
        <w:jc w:val="both"/>
        <w:rPr>
          <w:b/>
        </w:rPr>
      </w:pPr>
      <w:r w:rsidRPr="00A93B42">
        <w:rPr>
          <w:b/>
        </w:rPr>
        <w:t xml:space="preserve">     A standardu</w:t>
      </w:r>
    </w:p>
    <w:p w:rsidR="00A93B42" w:rsidRPr="00A93B42" w:rsidRDefault="00A93B42" w:rsidP="00A93B42">
      <w:pPr>
        <w:jc w:val="center"/>
        <w:rPr>
          <w:b/>
        </w:rPr>
      </w:pPr>
    </w:p>
    <w:p w:rsidR="00A93B42" w:rsidRPr="00A93B42" w:rsidRDefault="00A93B42" w:rsidP="00A93B42">
      <w:pPr>
        <w:jc w:val="both"/>
        <w:rPr>
          <w:b/>
        </w:rPr>
      </w:pPr>
      <w:r w:rsidRPr="00A93B42">
        <w:rPr>
          <w:b/>
        </w:rPr>
        <w:t xml:space="preserve">        A próby</w:t>
      </w:r>
    </w:p>
    <w:p w:rsidR="00A93B42" w:rsidRPr="00A93B42" w:rsidRDefault="00A93B42" w:rsidP="00A93B42">
      <w:pPr>
        <w:jc w:val="both"/>
        <w:rPr>
          <w:b/>
        </w:rPr>
      </w:pPr>
      <w:r w:rsidRPr="00A93B42">
        <w:rPr>
          <w:b/>
        </w:rPr>
        <w:t xml:space="preserve">      </w:t>
      </w:r>
      <w:r w:rsidRPr="00A93B42">
        <w:rPr>
          <w:b/>
        </w:rPr>
        <w:sym w:font="Symbol" w:char="F0BE"/>
      </w:r>
      <w:r w:rsidRPr="00A93B42">
        <w:rPr>
          <w:b/>
        </w:rPr>
        <w:sym w:font="Symbol" w:char="F0BE"/>
      </w:r>
      <w:r w:rsidRPr="00A93B42">
        <w:rPr>
          <w:b/>
        </w:rPr>
        <w:sym w:font="Symbol" w:char="F0BE"/>
      </w:r>
      <w:r w:rsidRPr="00A93B42">
        <w:rPr>
          <w:b/>
        </w:rPr>
        <w:sym w:font="Symbol" w:char="F0BE"/>
      </w:r>
      <w:r w:rsidRPr="00A93B42">
        <w:rPr>
          <w:b/>
        </w:rPr>
        <w:sym w:font="Symbol" w:char="F0BE"/>
      </w:r>
      <w:r w:rsidRPr="00A93B42">
        <w:rPr>
          <w:b/>
        </w:rPr>
        <w:t xml:space="preserve">    x  5.55  =  mmol/l glukozy</w:t>
      </w:r>
    </w:p>
    <w:p w:rsidR="00A93B42" w:rsidRPr="00A93B42" w:rsidRDefault="00A93B42" w:rsidP="00A93B42">
      <w:pPr>
        <w:jc w:val="both"/>
        <w:rPr>
          <w:b/>
        </w:rPr>
      </w:pPr>
      <w:r w:rsidRPr="00A93B42">
        <w:rPr>
          <w:b/>
        </w:rPr>
        <w:t xml:space="preserve">     A standardu</w:t>
      </w:r>
    </w:p>
    <w:p w:rsidR="00A93B42" w:rsidRPr="00A93B42" w:rsidRDefault="00A93B42" w:rsidP="00A93B42">
      <w:pPr>
        <w:jc w:val="both"/>
        <w:rPr>
          <w:b/>
        </w:rPr>
      </w:pPr>
    </w:p>
    <w:p w:rsidR="00A93B42" w:rsidRPr="00A93B42" w:rsidRDefault="00A93B42" w:rsidP="00A93B42">
      <w:pPr>
        <w:jc w:val="both"/>
        <w:rPr>
          <w:b/>
        </w:rPr>
      </w:pPr>
    </w:p>
    <w:p w:rsidR="00A93B42" w:rsidRPr="00A93B42" w:rsidRDefault="00A93B42" w:rsidP="00A93B42">
      <w:pPr>
        <w:jc w:val="both"/>
        <w:rPr>
          <w:b/>
        </w:rPr>
      </w:pPr>
    </w:p>
    <w:p w:rsidR="00A93B42" w:rsidRPr="00A93B42" w:rsidRDefault="00A93B42" w:rsidP="00A93B42">
      <w:pPr>
        <w:jc w:val="both"/>
        <w:rPr>
          <w:b/>
        </w:rPr>
      </w:pPr>
    </w:p>
    <w:p w:rsidR="00A93B42" w:rsidRPr="0079096F" w:rsidRDefault="00A93B42" w:rsidP="00A93B4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b/>
        </w:rPr>
      </w:pPr>
      <w:r w:rsidRPr="0079096F">
        <w:rPr>
          <w:b/>
        </w:rPr>
        <w:t>Oznaczanie cholesterolu całkowitego metodą enzymatyczną</w:t>
      </w:r>
    </w:p>
    <w:p w:rsidR="00A93B42" w:rsidRDefault="00A93B42" w:rsidP="00A93B42"/>
    <w:p w:rsidR="00A93B42" w:rsidRDefault="00A93B42" w:rsidP="00A93B42"/>
    <w:p w:rsidR="00A93B42" w:rsidRPr="0079096F" w:rsidRDefault="00A93B42" w:rsidP="00A93B42">
      <w:pPr>
        <w:rPr>
          <w:i/>
          <w:u w:val="single"/>
        </w:rPr>
      </w:pPr>
      <w:r w:rsidRPr="0079096F">
        <w:rPr>
          <w:i/>
          <w:u w:val="single"/>
        </w:rPr>
        <w:t>Zasada metody</w:t>
      </w:r>
    </w:p>
    <w:p w:rsidR="00A93B42" w:rsidRDefault="00A93B42" w:rsidP="00A93B42"/>
    <w:p w:rsidR="00A93B42" w:rsidRDefault="00A93B42" w:rsidP="00A93B42">
      <w:pPr>
        <w:jc w:val="both"/>
      </w:pPr>
      <w:r>
        <w:t>W metodzie enzymatycznej stężenie cholesterolu oznacza się na podstawie natężenia barwy produktu, powstałego w wyniku przemian pokazanych na rycinie 7.3.</w:t>
      </w:r>
    </w:p>
    <w:p w:rsidR="00A93B42" w:rsidRDefault="00A93B42" w:rsidP="00A93B42"/>
    <w:p w:rsidR="00A93B42" w:rsidRDefault="00A93B42" w:rsidP="00A93B42"/>
    <w:p w:rsidR="00A93B42" w:rsidRPr="0079096F" w:rsidRDefault="00A93B42" w:rsidP="00A93B42">
      <w:pPr>
        <w:jc w:val="center"/>
      </w:pPr>
      <w:r w:rsidRPr="0079096F">
        <w:rPr>
          <w:noProof/>
          <w:lang w:val="en-US" w:eastAsia="en-US"/>
        </w:rPr>
        <w:lastRenderedPageBreak/>
        <w:drawing>
          <wp:inline distT="0" distB="0" distL="0" distR="0" wp14:anchorId="6F3C35A1" wp14:editId="73E25E17">
            <wp:extent cx="5400675" cy="4810125"/>
            <wp:effectExtent l="0" t="0" r="9525" b="9525"/>
            <wp:docPr id="4" name="Obraz 4" descr="Lipidy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pidy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81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B42" w:rsidRDefault="00A93B42" w:rsidP="00A93B42"/>
    <w:p w:rsidR="00A93B42" w:rsidRDefault="00A93B42" w:rsidP="00A93B42">
      <w:r w:rsidRPr="008D4E2B">
        <w:rPr>
          <w:b/>
        </w:rPr>
        <w:t>Ryc. 7.3.</w:t>
      </w:r>
      <w:r>
        <w:t xml:space="preserve"> Zasada oznaczania cholesterolu metodą enzymatyczną</w:t>
      </w:r>
    </w:p>
    <w:p w:rsidR="00A93B42" w:rsidRDefault="00A93B42" w:rsidP="00A93B42"/>
    <w:p w:rsidR="00A93B42" w:rsidRDefault="00A93B42" w:rsidP="00A93B42"/>
    <w:p w:rsidR="00A93B42" w:rsidRDefault="00A93B42" w:rsidP="00A93B42">
      <w:pPr>
        <w:rPr>
          <w:i/>
          <w:u w:val="single"/>
        </w:rPr>
      </w:pPr>
    </w:p>
    <w:p w:rsidR="00A93B42" w:rsidRPr="008D4E2B" w:rsidRDefault="00A93B42" w:rsidP="00A93B42">
      <w:pPr>
        <w:rPr>
          <w:i/>
          <w:u w:val="single"/>
        </w:rPr>
      </w:pPr>
      <w:r w:rsidRPr="008D4E2B">
        <w:rPr>
          <w:i/>
          <w:u w:val="single"/>
        </w:rPr>
        <w:t>Wykonanie</w:t>
      </w:r>
    </w:p>
    <w:p w:rsidR="00A93B42" w:rsidRDefault="00A93B42" w:rsidP="00A93B42"/>
    <w:p w:rsidR="00A93B42" w:rsidRDefault="00A93B42" w:rsidP="00A93B42">
      <w:pPr>
        <w:numPr>
          <w:ilvl w:val="0"/>
          <w:numId w:val="2"/>
        </w:numPr>
      </w:pPr>
      <w:r>
        <w:t>Przygotować probówki w/g poniższej tabeli:</w:t>
      </w:r>
    </w:p>
    <w:p w:rsidR="00A93B42" w:rsidRDefault="00A93B42" w:rsidP="00A93B42"/>
    <w:tbl>
      <w:tblPr>
        <w:tblStyle w:val="Tabela-Siatka"/>
        <w:tblW w:w="9072" w:type="dxa"/>
        <w:jc w:val="center"/>
        <w:tblLook w:val="01E0" w:firstRow="1" w:lastRow="1" w:firstColumn="1" w:lastColumn="1" w:noHBand="0" w:noVBand="0"/>
      </w:tblPr>
      <w:tblGrid>
        <w:gridCol w:w="2388"/>
        <w:gridCol w:w="2204"/>
        <w:gridCol w:w="2240"/>
        <w:gridCol w:w="2240"/>
      </w:tblGrid>
      <w:tr w:rsidR="00A93B42" w:rsidRPr="005507D8" w:rsidTr="00EF0CC3">
        <w:trPr>
          <w:jc w:val="center"/>
        </w:trPr>
        <w:tc>
          <w:tcPr>
            <w:tcW w:w="2303" w:type="dxa"/>
            <w:tcBorders>
              <w:top w:val="single" w:sz="12" w:space="0" w:color="auto"/>
              <w:bottom w:val="single" w:sz="8" w:space="0" w:color="auto"/>
            </w:tcBorders>
            <w:shd w:val="clear" w:color="auto" w:fill="D9D9D9"/>
          </w:tcPr>
          <w:p w:rsidR="00A93B42" w:rsidRPr="005507D8" w:rsidRDefault="00A93B42" w:rsidP="00EF0C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12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A93B42" w:rsidRPr="005507D8" w:rsidRDefault="00A93B42" w:rsidP="00EF0CC3">
            <w:pPr>
              <w:rPr>
                <w:b/>
                <w:sz w:val="22"/>
                <w:szCs w:val="22"/>
              </w:rPr>
            </w:pPr>
            <w:r w:rsidRPr="005507D8">
              <w:rPr>
                <w:b/>
                <w:sz w:val="22"/>
                <w:szCs w:val="22"/>
              </w:rPr>
              <w:t>Próba ślepa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A93B42" w:rsidRPr="005507D8" w:rsidRDefault="00A93B42" w:rsidP="00EF0CC3">
            <w:pPr>
              <w:rPr>
                <w:b/>
                <w:sz w:val="22"/>
                <w:szCs w:val="22"/>
              </w:rPr>
            </w:pPr>
            <w:r w:rsidRPr="005507D8">
              <w:rPr>
                <w:b/>
                <w:sz w:val="22"/>
                <w:szCs w:val="22"/>
              </w:rPr>
              <w:t>Próba wzorcowa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A93B42" w:rsidRPr="005507D8" w:rsidRDefault="00A93B42" w:rsidP="00EF0CC3">
            <w:pPr>
              <w:rPr>
                <w:b/>
                <w:sz w:val="22"/>
                <w:szCs w:val="22"/>
              </w:rPr>
            </w:pPr>
            <w:r w:rsidRPr="005507D8">
              <w:rPr>
                <w:b/>
                <w:sz w:val="22"/>
                <w:szCs w:val="22"/>
              </w:rPr>
              <w:t>Próba badana</w:t>
            </w:r>
          </w:p>
        </w:tc>
      </w:tr>
      <w:tr w:rsidR="00A93B42" w:rsidRPr="005507D8" w:rsidTr="00EF0CC3">
        <w:trPr>
          <w:jc w:val="center"/>
        </w:trPr>
        <w:tc>
          <w:tcPr>
            <w:tcW w:w="2303" w:type="dxa"/>
            <w:tcBorders>
              <w:top w:val="single" w:sz="12" w:space="0" w:color="auto"/>
            </w:tcBorders>
            <w:vAlign w:val="center"/>
          </w:tcPr>
          <w:p w:rsidR="00A93B42" w:rsidRPr="005507D8" w:rsidRDefault="00A93B42" w:rsidP="00EF0CC3">
            <w:pPr>
              <w:rPr>
                <w:sz w:val="22"/>
                <w:szCs w:val="22"/>
              </w:rPr>
            </w:pPr>
            <w:r w:rsidRPr="005507D8">
              <w:rPr>
                <w:sz w:val="22"/>
                <w:szCs w:val="22"/>
              </w:rPr>
              <w:t>Roztwór roboczy</w:t>
            </w:r>
          </w:p>
        </w:tc>
        <w:tc>
          <w:tcPr>
            <w:tcW w:w="2125" w:type="dxa"/>
            <w:tcBorders>
              <w:top w:val="single" w:sz="12" w:space="0" w:color="auto"/>
            </w:tcBorders>
            <w:vAlign w:val="center"/>
          </w:tcPr>
          <w:p w:rsidR="00A93B42" w:rsidRPr="005507D8" w:rsidRDefault="00A93B42" w:rsidP="00EF0CC3">
            <w:pPr>
              <w:rPr>
                <w:sz w:val="22"/>
                <w:szCs w:val="22"/>
              </w:rPr>
            </w:pPr>
            <w:r w:rsidRPr="005507D8">
              <w:rPr>
                <w:sz w:val="22"/>
                <w:szCs w:val="22"/>
              </w:rPr>
              <w:t>1ml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vAlign w:val="center"/>
          </w:tcPr>
          <w:p w:rsidR="00A93B42" w:rsidRPr="005507D8" w:rsidRDefault="00A93B42" w:rsidP="00EF0CC3">
            <w:pPr>
              <w:rPr>
                <w:sz w:val="22"/>
                <w:szCs w:val="22"/>
              </w:rPr>
            </w:pPr>
            <w:r w:rsidRPr="005507D8">
              <w:rPr>
                <w:sz w:val="22"/>
                <w:szCs w:val="22"/>
              </w:rPr>
              <w:t>1ml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vAlign w:val="center"/>
          </w:tcPr>
          <w:p w:rsidR="00A93B42" w:rsidRPr="005507D8" w:rsidRDefault="00A93B42" w:rsidP="00EF0CC3">
            <w:pPr>
              <w:rPr>
                <w:sz w:val="22"/>
                <w:szCs w:val="22"/>
              </w:rPr>
            </w:pPr>
            <w:r w:rsidRPr="005507D8">
              <w:rPr>
                <w:sz w:val="22"/>
                <w:szCs w:val="22"/>
              </w:rPr>
              <w:t>1ml</w:t>
            </w:r>
          </w:p>
        </w:tc>
      </w:tr>
      <w:tr w:rsidR="00A93B42" w:rsidRPr="005507D8" w:rsidTr="00EF0CC3">
        <w:trPr>
          <w:jc w:val="center"/>
        </w:trPr>
        <w:tc>
          <w:tcPr>
            <w:tcW w:w="2303" w:type="dxa"/>
            <w:vAlign w:val="center"/>
          </w:tcPr>
          <w:p w:rsidR="00A93B42" w:rsidRPr="005507D8" w:rsidRDefault="00A93B42" w:rsidP="00EF0CC3">
            <w:pPr>
              <w:rPr>
                <w:sz w:val="22"/>
                <w:szCs w:val="22"/>
              </w:rPr>
            </w:pPr>
            <w:r w:rsidRPr="005507D8">
              <w:rPr>
                <w:sz w:val="22"/>
                <w:szCs w:val="22"/>
              </w:rPr>
              <w:t>Surowica</w:t>
            </w:r>
          </w:p>
        </w:tc>
        <w:tc>
          <w:tcPr>
            <w:tcW w:w="2125" w:type="dxa"/>
            <w:vAlign w:val="center"/>
          </w:tcPr>
          <w:p w:rsidR="00A93B42" w:rsidRPr="005507D8" w:rsidRDefault="00A93B42" w:rsidP="00EF0CC3">
            <w:pPr>
              <w:rPr>
                <w:sz w:val="22"/>
                <w:szCs w:val="22"/>
              </w:rPr>
            </w:pPr>
            <w:r w:rsidRPr="005507D8">
              <w:rPr>
                <w:sz w:val="22"/>
                <w:szCs w:val="22"/>
              </w:rPr>
              <w:t>--</w:t>
            </w:r>
          </w:p>
        </w:tc>
        <w:tc>
          <w:tcPr>
            <w:tcW w:w="2160" w:type="dxa"/>
            <w:vAlign w:val="center"/>
          </w:tcPr>
          <w:p w:rsidR="00A93B42" w:rsidRPr="005507D8" w:rsidRDefault="00A93B42" w:rsidP="00EF0CC3">
            <w:pPr>
              <w:rPr>
                <w:sz w:val="22"/>
                <w:szCs w:val="22"/>
              </w:rPr>
            </w:pPr>
            <w:r w:rsidRPr="005507D8">
              <w:rPr>
                <w:sz w:val="22"/>
                <w:szCs w:val="22"/>
              </w:rPr>
              <w:t>--</w:t>
            </w:r>
          </w:p>
        </w:tc>
        <w:tc>
          <w:tcPr>
            <w:tcW w:w="2160" w:type="dxa"/>
            <w:vAlign w:val="center"/>
          </w:tcPr>
          <w:p w:rsidR="00A93B42" w:rsidRPr="005507D8" w:rsidRDefault="00A93B42" w:rsidP="00EF0CC3">
            <w:pPr>
              <w:rPr>
                <w:sz w:val="22"/>
                <w:szCs w:val="22"/>
              </w:rPr>
            </w:pPr>
            <w:r w:rsidRPr="005507D8">
              <w:rPr>
                <w:sz w:val="22"/>
                <w:szCs w:val="22"/>
              </w:rPr>
              <w:t>10μl</w:t>
            </w:r>
          </w:p>
        </w:tc>
      </w:tr>
      <w:tr w:rsidR="00A93B42" w:rsidRPr="005507D8" w:rsidTr="00EF0CC3">
        <w:trPr>
          <w:jc w:val="center"/>
        </w:trPr>
        <w:tc>
          <w:tcPr>
            <w:tcW w:w="2303" w:type="dxa"/>
            <w:vAlign w:val="center"/>
          </w:tcPr>
          <w:p w:rsidR="00A93B42" w:rsidRPr="005507D8" w:rsidRDefault="00A93B42" w:rsidP="00EF0CC3">
            <w:pPr>
              <w:rPr>
                <w:sz w:val="22"/>
                <w:szCs w:val="22"/>
              </w:rPr>
            </w:pPr>
            <w:r w:rsidRPr="005507D8">
              <w:rPr>
                <w:sz w:val="22"/>
                <w:szCs w:val="22"/>
              </w:rPr>
              <w:t>Roztwór wzorcowy</w:t>
            </w:r>
          </w:p>
        </w:tc>
        <w:tc>
          <w:tcPr>
            <w:tcW w:w="2125" w:type="dxa"/>
            <w:vAlign w:val="center"/>
          </w:tcPr>
          <w:p w:rsidR="00A93B42" w:rsidRPr="005507D8" w:rsidRDefault="00A93B42" w:rsidP="00EF0CC3">
            <w:pPr>
              <w:rPr>
                <w:sz w:val="22"/>
                <w:szCs w:val="22"/>
              </w:rPr>
            </w:pPr>
            <w:r w:rsidRPr="005507D8">
              <w:rPr>
                <w:sz w:val="22"/>
                <w:szCs w:val="22"/>
              </w:rPr>
              <w:t>--</w:t>
            </w:r>
          </w:p>
        </w:tc>
        <w:tc>
          <w:tcPr>
            <w:tcW w:w="2160" w:type="dxa"/>
            <w:vAlign w:val="center"/>
          </w:tcPr>
          <w:p w:rsidR="00A93B42" w:rsidRPr="005507D8" w:rsidRDefault="00A93B42" w:rsidP="00EF0CC3">
            <w:pPr>
              <w:rPr>
                <w:sz w:val="22"/>
                <w:szCs w:val="22"/>
              </w:rPr>
            </w:pPr>
            <w:r w:rsidRPr="005507D8">
              <w:rPr>
                <w:sz w:val="22"/>
                <w:szCs w:val="22"/>
              </w:rPr>
              <w:t>10μl</w:t>
            </w:r>
          </w:p>
        </w:tc>
        <w:tc>
          <w:tcPr>
            <w:tcW w:w="2160" w:type="dxa"/>
            <w:vAlign w:val="center"/>
          </w:tcPr>
          <w:p w:rsidR="00A93B42" w:rsidRPr="005507D8" w:rsidRDefault="00A93B42" w:rsidP="00EF0CC3">
            <w:pPr>
              <w:rPr>
                <w:sz w:val="22"/>
                <w:szCs w:val="22"/>
              </w:rPr>
            </w:pPr>
            <w:r w:rsidRPr="005507D8">
              <w:rPr>
                <w:sz w:val="22"/>
                <w:szCs w:val="22"/>
              </w:rPr>
              <w:t>--</w:t>
            </w:r>
          </w:p>
        </w:tc>
      </w:tr>
      <w:tr w:rsidR="00A93B42" w:rsidRPr="005507D8" w:rsidTr="00EF0CC3">
        <w:trPr>
          <w:jc w:val="center"/>
        </w:trPr>
        <w:tc>
          <w:tcPr>
            <w:tcW w:w="2303" w:type="dxa"/>
            <w:tcBorders>
              <w:bottom w:val="single" w:sz="12" w:space="0" w:color="auto"/>
            </w:tcBorders>
            <w:vAlign w:val="center"/>
          </w:tcPr>
          <w:p w:rsidR="00A93B42" w:rsidRPr="005507D8" w:rsidRDefault="00A93B42" w:rsidP="00EF0CC3">
            <w:pPr>
              <w:rPr>
                <w:sz w:val="22"/>
                <w:szCs w:val="22"/>
              </w:rPr>
            </w:pPr>
            <w:r w:rsidRPr="005507D8">
              <w:rPr>
                <w:sz w:val="22"/>
                <w:szCs w:val="22"/>
              </w:rPr>
              <w:t>Woda</w:t>
            </w:r>
          </w:p>
        </w:tc>
        <w:tc>
          <w:tcPr>
            <w:tcW w:w="2125" w:type="dxa"/>
            <w:tcBorders>
              <w:bottom w:val="single" w:sz="12" w:space="0" w:color="auto"/>
            </w:tcBorders>
            <w:vAlign w:val="center"/>
          </w:tcPr>
          <w:p w:rsidR="00A93B42" w:rsidRPr="005507D8" w:rsidRDefault="00A93B42" w:rsidP="00EF0CC3">
            <w:pPr>
              <w:rPr>
                <w:sz w:val="22"/>
                <w:szCs w:val="22"/>
              </w:rPr>
            </w:pPr>
            <w:r w:rsidRPr="005507D8">
              <w:rPr>
                <w:sz w:val="22"/>
                <w:szCs w:val="22"/>
              </w:rPr>
              <w:t>10μl</w:t>
            </w:r>
          </w:p>
        </w:tc>
        <w:tc>
          <w:tcPr>
            <w:tcW w:w="2160" w:type="dxa"/>
            <w:tcBorders>
              <w:bottom w:val="single" w:sz="12" w:space="0" w:color="auto"/>
            </w:tcBorders>
            <w:vAlign w:val="center"/>
          </w:tcPr>
          <w:p w:rsidR="00A93B42" w:rsidRPr="005507D8" w:rsidRDefault="00A93B42" w:rsidP="00EF0CC3">
            <w:pPr>
              <w:rPr>
                <w:sz w:val="22"/>
                <w:szCs w:val="22"/>
              </w:rPr>
            </w:pPr>
            <w:r w:rsidRPr="005507D8">
              <w:rPr>
                <w:sz w:val="22"/>
                <w:szCs w:val="22"/>
              </w:rPr>
              <w:t>--</w:t>
            </w:r>
          </w:p>
        </w:tc>
        <w:tc>
          <w:tcPr>
            <w:tcW w:w="2160" w:type="dxa"/>
            <w:tcBorders>
              <w:bottom w:val="single" w:sz="12" w:space="0" w:color="auto"/>
            </w:tcBorders>
            <w:vAlign w:val="center"/>
          </w:tcPr>
          <w:p w:rsidR="00A93B42" w:rsidRPr="005507D8" w:rsidRDefault="00A93B42" w:rsidP="00EF0CC3">
            <w:pPr>
              <w:rPr>
                <w:sz w:val="22"/>
                <w:szCs w:val="22"/>
              </w:rPr>
            </w:pPr>
            <w:r w:rsidRPr="005507D8">
              <w:rPr>
                <w:sz w:val="22"/>
                <w:szCs w:val="22"/>
              </w:rPr>
              <w:t>--</w:t>
            </w:r>
          </w:p>
        </w:tc>
      </w:tr>
    </w:tbl>
    <w:p w:rsidR="00A93B42" w:rsidRDefault="00A93B42" w:rsidP="00A93B42"/>
    <w:p w:rsidR="00A93B42" w:rsidRDefault="00A93B42" w:rsidP="00A93B42">
      <w:pPr>
        <w:numPr>
          <w:ilvl w:val="0"/>
          <w:numId w:val="2"/>
        </w:numPr>
        <w:jc w:val="both"/>
      </w:pPr>
      <w:r>
        <w:t xml:space="preserve">Wymieszać zawartość probówek, inkubować przez 10 minut w temperaturze </w:t>
      </w:r>
      <w:smartTag w:uri="urn:schemas-microsoft-com:office:smarttags" w:element="metricconverter">
        <w:smartTagPr>
          <w:attr w:name="ProductID" w:val="37ﾰC"/>
        </w:smartTagPr>
        <w:r>
          <w:t>37°C</w:t>
        </w:r>
      </w:smartTag>
      <w:r>
        <w:t>.</w:t>
      </w:r>
    </w:p>
    <w:p w:rsidR="00A93B42" w:rsidRDefault="00A93B42" w:rsidP="00A93B42">
      <w:pPr>
        <w:numPr>
          <w:ilvl w:val="0"/>
          <w:numId w:val="2"/>
        </w:numPr>
        <w:jc w:val="both"/>
      </w:pPr>
      <w:r>
        <w:t>Odczytać absorbancję wzorca i roztworu badanego zerując aparat wobec próby odczynnikowej przy długości fali 500 nm.</w:t>
      </w:r>
    </w:p>
    <w:p w:rsidR="00A93B42" w:rsidRDefault="00A93B42" w:rsidP="00A93B42">
      <w:pPr>
        <w:numPr>
          <w:ilvl w:val="0"/>
          <w:numId w:val="2"/>
        </w:numPr>
        <w:jc w:val="both"/>
      </w:pPr>
      <w:r>
        <w:t xml:space="preserve">Stężenie cholesterolu obliczyć z wzoru: </w:t>
      </w:r>
    </w:p>
    <w:p w:rsidR="00A93B42" w:rsidRDefault="00A93B42" w:rsidP="00A93B42">
      <w:pPr>
        <w:jc w:val="both"/>
      </w:pPr>
    </w:p>
    <w:p w:rsidR="00A93B42" w:rsidRPr="003F40ED" w:rsidRDefault="00A93B42" w:rsidP="00A93B42">
      <w:pPr>
        <w:jc w:val="center"/>
        <w:rPr>
          <w:lang w:val="en-US"/>
        </w:rPr>
      </w:pPr>
      <w:r w:rsidRPr="00AE5B1C">
        <w:rPr>
          <w:sz w:val="28"/>
          <w:lang w:val="en-US"/>
        </w:rPr>
        <w:t>CH [mg%] = (A</w:t>
      </w:r>
      <w:r w:rsidRPr="00AE5B1C">
        <w:rPr>
          <w:sz w:val="28"/>
          <w:vertAlign w:val="subscript"/>
          <w:lang w:val="en-US"/>
        </w:rPr>
        <w:t>bad</w:t>
      </w:r>
      <w:r w:rsidRPr="00AE5B1C">
        <w:rPr>
          <w:sz w:val="28"/>
          <w:lang w:val="en-US"/>
        </w:rPr>
        <w:t>/A</w:t>
      </w:r>
      <w:r w:rsidRPr="00AE5B1C">
        <w:rPr>
          <w:sz w:val="28"/>
          <w:vertAlign w:val="subscript"/>
          <w:lang w:val="en-US"/>
        </w:rPr>
        <w:t>wz</w:t>
      </w:r>
      <w:r w:rsidRPr="00AE5B1C">
        <w:rPr>
          <w:sz w:val="28"/>
          <w:lang w:val="en-US"/>
        </w:rPr>
        <w:t>) x C</w:t>
      </w:r>
      <w:r w:rsidRPr="00AE5B1C">
        <w:rPr>
          <w:sz w:val="28"/>
          <w:vertAlign w:val="subscript"/>
          <w:lang w:val="en-US"/>
        </w:rPr>
        <w:t>wz</w:t>
      </w:r>
    </w:p>
    <w:p w:rsidR="00A93B42" w:rsidRDefault="00A93B42" w:rsidP="00A93B42">
      <w:pPr>
        <w:rPr>
          <w:lang w:val="en-US"/>
        </w:rPr>
      </w:pPr>
    </w:p>
    <w:p w:rsidR="00A93B42" w:rsidRDefault="00A93B42" w:rsidP="00A93B42">
      <w:pPr>
        <w:numPr>
          <w:ilvl w:val="0"/>
          <w:numId w:val="2"/>
        </w:numPr>
      </w:pPr>
      <w:r>
        <w:t>Zinterpretować wynik. Porównać z wynikiem uzyskanym metodą Ilcy.</w:t>
      </w:r>
    </w:p>
    <w:p w:rsidR="00A93B42" w:rsidRDefault="00A93B42" w:rsidP="00A93B42"/>
    <w:p w:rsidR="00A93B42" w:rsidRDefault="00A93B42" w:rsidP="00A93B42"/>
    <w:p w:rsidR="00A93B42" w:rsidRDefault="00A93B42" w:rsidP="00A93B42"/>
    <w:p w:rsidR="00A93B42" w:rsidRPr="00A93B42" w:rsidRDefault="00A93B42" w:rsidP="00A93B4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b/>
        </w:rPr>
      </w:pPr>
      <w:r w:rsidRPr="00A93B42">
        <w:rPr>
          <w:b/>
        </w:rPr>
        <w:t>Oznaczanie triacylogliceroli w surowicy metodą enzymatyczną</w:t>
      </w:r>
    </w:p>
    <w:p w:rsidR="00A93B42" w:rsidRPr="00A93B42" w:rsidRDefault="00A93B42" w:rsidP="00A93B42">
      <w:pPr>
        <w:outlineLvl w:val="2"/>
        <w:rPr>
          <w:b/>
        </w:rPr>
      </w:pPr>
    </w:p>
    <w:p w:rsidR="00A93B42" w:rsidRPr="00A93B42" w:rsidRDefault="00A93B42" w:rsidP="00A93B42">
      <w:pPr>
        <w:jc w:val="both"/>
      </w:pPr>
    </w:p>
    <w:p w:rsidR="00A93B42" w:rsidRPr="00A93B42" w:rsidRDefault="00A93B42" w:rsidP="00A93B42">
      <w:pPr>
        <w:jc w:val="both"/>
        <w:rPr>
          <w:i/>
          <w:u w:val="single"/>
        </w:rPr>
      </w:pPr>
      <w:r w:rsidRPr="00A93B42">
        <w:rPr>
          <w:i/>
          <w:u w:val="single"/>
        </w:rPr>
        <w:t>Zasada metody</w:t>
      </w:r>
    </w:p>
    <w:p w:rsidR="00A93B42" w:rsidRPr="00A93B42" w:rsidRDefault="00A93B42" w:rsidP="00A93B42">
      <w:pPr>
        <w:jc w:val="both"/>
      </w:pPr>
    </w:p>
    <w:p w:rsidR="00A93B42" w:rsidRPr="00A93B42" w:rsidRDefault="00A93B42" w:rsidP="00A93B42">
      <w:pPr>
        <w:jc w:val="both"/>
      </w:pPr>
      <w:r w:rsidRPr="00A93B42">
        <w:t>Wykorzystanie sprzężonych reakcji enzymatycznych pozwala w sposób pośredni oznaczyć stężenie triacylogliceroli w surowicy krwi. W czasie oznaczenia przebiegają następujące reakcje enzymatyczne:</w:t>
      </w:r>
    </w:p>
    <w:p w:rsidR="00A93B42" w:rsidRPr="00A93B42" w:rsidRDefault="00A93B42" w:rsidP="00A93B42">
      <w:pPr>
        <w:numPr>
          <w:ilvl w:val="0"/>
          <w:numId w:val="3"/>
        </w:numPr>
        <w:jc w:val="both"/>
      </w:pPr>
      <w:r w:rsidRPr="00A93B42">
        <w:t>hydroliza triacylogliceroli przez lipazę lipoproteinową;</w:t>
      </w:r>
    </w:p>
    <w:p w:rsidR="00A93B42" w:rsidRPr="00A93B42" w:rsidRDefault="00A93B42" w:rsidP="00A93B42">
      <w:pPr>
        <w:numPr>
          <w:ilvl w:val="0"/>
          <w:numId w:val="3"/>
        </w:numPr>
        <w:jc w:val="both"/>
      </w:pPr>
      <w:r w:rsidRPr="00A93B42">
        <w:t>fosforylacja uwolnionego glicerolu przez kinazę glicerolową;</w:t>
      </w:r>
    </w:p>
    <w:p w:rsidR="00A93B42" w:rsidRPr="00A93B42" w:rsidRDefault="00A93B42" w:rsidP="00A93B42">
      <w:pPr>
        <w:numPr>
          <w:ilvl w:val="0"/>
          <w:numId w:val="3"/>
        </w:numPr>
        <w:jc w:val="both"/>
      </w:pPr>
      <w:r w:rsidRPr="00A93B42">
        <w:t>utlenienie 3-fosforanu glicerolu do fosforanu dihydroksyacetonu pod wpływem oksydazy 3-fosfoglicerolowej, czemu towarzyszy uwolnienie nadtlenku wodoru;</w:t>
      </w:r>
    </w:p>
    <w:p w:rsidR="00A93B42" w:rsidRPr="00A93B42" w:rsidRDefault="00A93B42" w:rsidP="00A93B42">
      <w:pPr>
        <w:numPr>
          <w:ilvl w:val="0"/>
          <w:numId w:val="3"/>
        </w:numPr>
        <w:jc w:val="both"/>
      </w:pPr>
      <w:r w:rsidRPr="00A93B42">
        <w:t>przemiana 4-aminoantypiryny i fenolu w obecności nadtlenku wodoru do 4-(p-benzochinonomonoimino)-fenazonu o barwie czerwonej w reakcji katalizowanej przez peroksydazę</w:t>
      </w:r>
    </w:p>
    <w:p w:rsidR="00A93B42" w:rsidRPr="00A93B42" w:rsidRDefault="00A93B42" w:rsidP="00A93B42">
      <w:pPr>
        <w:jc w:val="both"/>
        <w:rPr>
          <w:b/>
        </w:rPr>
      </w:pPr>
      <w:r w:rsidRPr="00A93B42">
        <w:t>Natężenie barwy powstałego produktu jest proporcjonalne do zawartości triacylogliceroli w wyjściowej próbce.</w:t>
      </w:r>
    </w:p>
    <w:p w:rsidR="00A93B42" w:rsidRPr="00A93B42" w:rsidRDefault="00A93B42" w:rsidP="00A93B42">
      <w:pPr>
        <w:rPr>
          <w:b/>
        </w:rPr>
      </w:pPr>
    </w:p>
    <w:p w:rsidR="00A93B42" w:rsidRPr="00A93B42" w:rsidRDefault="00A93B42" w:rsidP="00A93B42">
      <w:pPr>
        <w:outlineLvl w:val="2"/>
        <w:rPr>
          <w:b/>
        </w:rPr>
      </w:pPr>
    </w:p>
    <w:p w:rsidR="00A93B42" w:rsidRPr="00A93B42" w:rsidRDefault="00A93B42" w:rsidP="00A93B42">
      <w:pPr>
        <w:rPr>
          <w:i/>
          <w:u w:val="single"/>
        </w:rPr>
      </w:pPr>
      <w:r w:rsidRPr="00A93B42">
        <w:rPr>
          <w:i/>
          <w:u w:val="single"/>
        </w:rPr>
        <w:t>Wykonanie</w:t>
      </w:r>
    </w:p>
    <w:p w:rsidR="00A93B42" w:rsidRPr="00A93B42" w:rsidRDefault="00A93B42" w:rsidP="00A93B42">
      <w:pPr>
        <w:outlineLvl w:val="2"/>
        <w:rPr>
          <w:b/>
        </w:rPr>
      </w:pPr>
    </w:p>
    <w:tbl>
      <w:tblPr>
        <w:tblStyle w:val="Tabela-Siatka1"/>
        <w:tblW w:w="9072" w:type="dxa"/>
        <w:jc w:val="center"/>
        <w:tblLook w:val="01E0" w:firstRow="1" w:lastRow="1" w:firstColumn="1" w:lastColumn="1" w:noHBand="0" w:noVBand="0"/>
      </w:tblPr>
      <w:tblGrid>
        <w:gridCol w:w="2266"/>
        <w:gridCol w:w="2280"/>
        <w:gridCol w:w="2267"/>
        <w:gridCol w:w="2259"/>
      </w:tblGrid>
      <w:tr w:rsidR="00A93B42" w:rsidRPr="00A93B42" w:rsidTr="00EF0CC3">
        <w:trPr>
          <w:trHeight w:val="308"/>
          <w:jc w:val="center"/>
        </w:trPr>
        <w:tc>
          <w:tcPr>
            <w:tcW w:w="2303" w:type="dxa"/>
            <w:tcBorders>
              <w:top w:val="single" w:sz="12" w:space="0" w:color="auto"/>
              <w:bottom w:val="single" w:sz="8" w:space="0" w:color="auto"/>
            </w:tcBorders>
            <w:shd w:val="clear" w:color="auto" w:fill="C0C0C0"/>
            <w:vAlign w:val="center"/>
          </w:tcPr>
          <w:p w:rsidR="00A93B42" w:rsidRPr="00A93B42" w:rsidRDefault="00A93B42" w:rsidP="00EF0CC3">
            <w:pPr>
              <w:rPr>
                <w:b/>
                <w:sz w:val="22"/>
              </w:rPr>
            </w:pPr>
          </w:p>
        </w:tc>
        <w:tc>
          <w:tcPr>
            <w:tcW w:w="2303" w:type="dxa"/>
            <w:tcBorders>
              <w:top w:val="single" w:sz="12" w:space="0" w:color="auto"/>
              <w:bottom w:val="single" w:sz="8" w:space="0" w:color="auto"/>
            </w:tcBorders>
            <w:shd w:val="clear" w:color="auto" w:fill="C0C0C0"/>
            <w:vAlign w:val="center"/>
          </w:tcPr>
          <w:p w:rsidR="00A93B42" w:rsidRPr="00A93B42" w:rsidRDefault="00A93B42" w:rsidP="00EF0CC3">
            <w:pPr>
              <w:jc w:val="center"/>
              <w:rPr>
                <w:b/>
                <w:sz w:val="22"/>
              </w:rPr>
            </w:pPr>
            <w:r w:rsidRPr="00A93B42">
              <w:rPr>
                <w:b/>
                <w:sz w:val="22"/>
              </w:rPr>
              <w:t>Próba odczynnikowa</w:t>
            </w:r>
          </w:p>
        </w:tc>
        <w:tc>
          <w:tcPr>
            <w:tcW w:w="2303" w:type="dxa"/>
            <w:tcBorders>
              <w:top w:val="single" w:sz="12" w:space="0" w:color="auto"/>
              <w:bottom w:val="single" w:sz="8" w:space="0" w:color="auto"/>
            </w:tcBorders>
            <w:shd w:val="clear" w:color="auto" w:fill="C0C0C0"/>
            <w:vAlign w:val="center"/>
          </w:tcPr>
          <w:p w:rsidR="00A93B42" w:rsidRPr="00A93B42" w:rsidRDefault="00A93B42" w:rsidP="00EF0CC3">
            <w:pPr>
              <w:jc w:val="center"/>
              <w:rPr>
                <w:b/>
                <w:sz w:val="22"/>
              </w:rPr>
            </w:pPr>
            <w:r w:rsidRPr="00A93B42">
              <w:rPr>
                <w:b/>
                <w:sz w:val="22"/>
              </w:rPr>
              <w:t>Próba wzorcowa</w:t>
            </w:r>
          </w:p>
        </w:tc>
        <w:tc>
          <w:tcPr>
            <w:tcW w:w="2303" w:type="dxa"/>
            <w:tcBorders>
              <w:top w:val="single" w:sz="12" w:space="0" w:color="auto"/>
              <w:bottom w:val="single" w:sz="8" w:space="0" w:color="auto"/>
            </w:tcBorders>
            <w:shd w:val="clear" w:color="auto" w:fill="C0C0C0"/>
            <w:vAlign w:val="center"/>
          </w:tcPr>
          <w:p w:rsidR="00A93B42" w:rsidRPr="00A93B42" w:rsidRDefault="00A93B42" w:rsidP="00EF0CC3">
            <w:pPr>
              <w:jc w:val="center"/>
              <w:rPr>
                <w:b/>
                <w:sz w:val="22"/>
              </w:rPr>
            </w:pPr>
            <w:r w:rsidRPr="00A93B42">
              <w:rPr>
                <w:b/>
                <w:sz w:val="22"/>
              </w:rPr>
              <w:t>Próba badana</w:t>
            </w:r>
          </w:p>
        </w:tc>
      </w:tr>
      <w:tr w:rsidR="00A93B42" w:rsidRPr="00A93B42" w:rsidTr="00EF0CC3">
        <w:trPr>
          <w:trHeight w:val="309"/>
          <w:jc w:val="center"/>
        </w:trPr>
        <w:tc>
          <w:tcPr>
            <w:tcW w:w="2303" w:type="dxa"/>
            <w:tcBorders>
              <w:top w:val="single" w:sz="12" w:space="0" w:color="auto"/>
            </w:tcBorders>
            <w:vAlign w:val="center"/>
          </w:tcPr>
          <w:p w:rsidR="00A93B42" w:rsidRPr="00A93B42" w:rsidRDefault="00A93B42" w:rsidP="00EF0CC3">
            <w:pPr>
              <w:rPr>
                <w:sz w:val="22"/>
              </w:rPr>
            </w:pPr>
            <w:r w:rsidRPr="00A93B42">
              <w:rPr>
                <w:sz w:val="22"/>
              </w:rPr>
              <w:t>Roztwór roboczy</w:t>
            </w:r>
          </w:p>
        </w:tc>
        <w:tc>
          <w:tcPr>
            <w:tcW w:w="2303" w:type="dxa"/>
            <w:tcBorders>
              <w:top w:val="single" w:sz="12" w:space="0" w:color="auto"/>
            </w:tcBorders>
            <w:vAlign w:val="center"/>
          </w:tcPr>
          <w:p w:rsidR="00A93B42" w:rsidRPr="00A93B42" w:rsidRDefault="00A93B42" w:rsidP="00EF0CC3">
            <w:pPr>
              <w:jc w:val="center"/>
              <w:rPr>
                <w:sz w:val="22"/>
              </w:rPr>
            </w:pPr>
            <w:r w:rsidRPr="00A93B42">
              <w:rPr>
                <w:sz w:val="22"/>
              </w:rPr>
              <w:t>1 ml</w:t>
            </w:r>
          </w:p>
        </w:tc>
        <w:tc>
          <w:tcPr>
            <w:tcW w:w="2303" w:type="dxa"/>
            <w:tcBorders>
              <w:top w:val="single" w:sz="12" w:space="0" w:color="auto"/>
            </w:tcBorders>
            <w:vAlign w:val="center"/>
          </w:tcPr>
          <w:p w:rsidR="00A93B42" w:rsidRPr="00A93B42" w:rsidRDefault="00A93B42" w:rsidP="00EF0CC3">
            <w:pPr>
              <w:jc w:val="center"/>
              <w:rPr>
                <w:sz w:val="22"/>
              </w:rPr>
            </w:pPr>
            <w:r w:rsidRPr="00A93B42">
              <w:rPr>
                <w:sz w:val="22"/>
              </w:rPr>
              <w:t>1 ml</w:t>
            </w:r>
          </w:p>
        </w:tc>
        <w:tc>
          <w:tcPr>
            <w:tcW w:w="2303" w:type="dxa"/>
            <w:tcBorders>
              <w:top w:val="single" w:sz="12" w:space="0" w:color="auto"/>
            </w:tcBorders>
            <w:vAlign w:val="center"/>
          </w:tcPr>
          <w:p w:rsidR="00A93B42" w:rsidRPr="00A93B42" w:rsidRDefault="00A93B42" w:rsidP="00EF0CC3">
            <w:pPr>
              <w:jc w:val="center"/>
              <w:rPr>
                <w:sz w:val="22"/>
              </w:rPr>
            </w:pPr>
            <w:r w:rsidRPr="00A93B42">
              <w:rPr>
                <w:sz w:val="22"/>
              </w:rPr>
              <w:t>1 ml</w:t>
            </w:r>
          </w:p>
        </w:tc>
      </w:tr>
      <w:tr w:rsidR="00A93B42" w:rsidRPr="00A93B42" w:rsidTr="00EF0CC3">
        <w:trPr>
          <w:trHeight w:val="308"/>
          <w:jc w:val="center"/>
        </w:trPr>
        <w:tc>
          <w:tcPr>
            <w:tcW w:w="2303" w:type="dxa"/>
            <w:vAlign w:val="center"/>
          </w:tcPr>
          <w:p w:rsidR="00A93B42" w:rsidRPr="00A93B42" w:rsidRDefault="00A93B42" w:rsidP="00EF0CC3">
            <w:pPr>
              <w:rPr>
                <w:sz w:val="22"/>
              </w:rPr>
            </w:pPr>
            <w:r w:rsidRPr="00A93B42">
              <w:rPr>
                <w:sz w:val="22"/>
              </w:rPr>
              <w:t>Surowica</w:t>
            </w:r>
          </w:p>
        </w:tc>
        <w:tc>
          <w:tcPr>
            <w:tcW w:w="2303" w:type="dxa"/>
            <w:vAlign w:val="center"/>
          </w:tcPr>
          <w:p w:rsidR="00A93B42" w:rsidRPr="00A93B42" w:rsidRDefault="00A93B42" w:rsidP="00EF0CC3">
            <w:pPr>
              <w:jc w:val="center"/>
              <w:rPr>
                <w:sz w:val="22"/>
              </w:rPr>
            </w:pPr>
            <w:r w:rsidRPr="00A93B42">
              <w:rPr>
                <w:sz w:val="22"/>
              </w:rPr>
              <w:t>--</w:t>
            </w:r>
          </w:p>
        </w:tc>
        <w:tc>
          <w:tcPr>
            <w:tcW w:w="2303" w:type="dxa"/>
            <w:vAlign w:val="center"/>
          </w:tcPr>
          <w:p w:rsidR="00A93B42" w:rsidRPr="00A93B42" w:rsidRDefault="00A93B42" w:rsidP="00EF0CC3">
            <w:pPr>
              <w:jc w:val="center"/>
              <w:rPr>
                <w:sz w:val="22"/>
              </w:rPr>
            </w:pPr>
            <w:r w:rsidRPr="00A93B42">
              <w:rPr>
                <w:sz w:val="22"/>
              </w:rPr>
              <w:t>--</w:t>
            </w:r>
          </w:p>
        </w:tc>
        <w:tc>
          <w:tcPr>
            <w:tcW w:w="2303" w:type="dxa"/>
            <w:vAlign w:val="center"/>
          </w:tcPr>
          <w:p w:rsidR="00A93B42" w:rsidRPr="00A93B42" w:rsidRDefault="00A93B42" w:rsidP="00EF0CC3">
            <w:pPr>
              <w:jc w:val="center"/>
              <w:rPr>
                <w:sz w:val="22"/>
              </w:rPr>
            </w:pPr>
            <w:r w:rsidRPr="00A93B42">
              <w:rPr>
                <w:sz w:val="22"/>
              </w:rPr>
              <w:t>10 μl</w:t>
            </w:r>
          </w:p>
        </w:tc>
      </w:tr>
      <w:tr w:rsidR="00A93B42" w:rsidRPr="00A93B42" w:rsidTr="00EF0CC3">
        <w:trPr>
          <w:trHeight w:val="309"/>
          <w:jc w:val="center"/>
        </w:trPr>
        <w:tc>
          <w:tcPr>
            <w:tcW w:w="2303" w:type="dxa"/>
            <w:vAlign w:val="center"/>
          </w:tcPr>
          <w:p w:rsidR="00A93B42" w:rsidRPr="00A93B42" w:rsidRDefault="00A93B42" w:rsidP="00EF0CC3">
            <w:pPr>
              <w:rPr>
                <w:sz w:val="22"/>
              </w:rPr>
            </w:pPr>
            <w:r w:rsidRPr="00A93B42">
              <w:rPr>
                <w:sz w:val="22"/>
              </w:rPr>
              <w:t>Roztwór wzorcowy</w:t>
            </w:r>
          </w:p>
        </w:tc>
        <w:tc>
          <w:tcPr>
            <w:tcW w:w="2303" w:type="dxa"/>
            <w:vAlign w:val="center"/>
          </w:tcPr>
          <w:p w:rsidR="00A93B42" w:rsidRPr="00A93B42" w:rsidRDefault="00A93B42" w:rsidP="00EF0CC3">
            <w:pPr>
              <w:jc w:val="center"/>
              <w:rPr>
                <w:sz w:val="22"/>
              </w:rPr>
            </w:pPr>
            <w:r w:rsidRPr="00A93B42">
              <w:rPr>
                <w:sz w:val="22"/>
              </w:rPr>
              <w:t>--</w:t>
            </w:r>
          </w:p>
        </w:tc>
        <w:tc>
          <w:tcPr>
            <w:tcW w:w="2303" w:type="dxa"/>
            <w:vAlign w:val="center"/>
          </w:tcPr>
          <w:p w:rsidR="00A93B42" w:rsidRPr="00A93B42" w:rsidRDefault="00A93B42" w:rsidP="00EF0CC3">
            <w:pPr>
              <w:jc w:val="center"/>
              <w:rPr>
                <w:sz w:val="22"/>
              </w:rPr>
            </w:pPr>
            <w:r w:rsidRPr="00A93B42">
              <w:rPr>
                <w:sz w:val="22"/>
              </w:rPr>
              <w:t>10 μl</w:t>
            </w:r>
          </w:p>
        </w:tc>
        <w:tc>
          <w:tcPr>
            <w:tcW w:w="2303" w:type="dxa"/>
            <w:vAlign w:val="center"/>
          </w:tcPr>
          <w:p w:rsidR="00A93B42" w:rsidRPr="00A93B42" w:rsidRDefault="00A93B42" w:rsidP="00EF0CC3">
            <w:pPr>
              <w:jc w:val="center"/>
              <w:rPr>
                <w:sz w:val="22"/>
              </w:rPr>
            </w:pPr>
            <w:r w:rsidRPr="00A93B42">
              <w:rPr>
                <w:sz w:val="22"/>
              </w:rPr>
              <w:t>--</w:t>
            </w:r>
          </w:p>
        </w:tc>
      </w:tr>
      <w:tr w:rsidR="00A93B42" w:rsidRPr="00A93B42" w:rsidTr="00EF0CC3">
        <w:trPr>
          <w:trHeight w:val="309"/>
          <w:jc w:val="center"/>
        </w:trPr>
        <w:tc>
          <w:tcPr>
            <w:tcW w:w="2303" w:type="dxa"/>
            <w:tcBorders>
              <w:bottom w:val="single" w:sz="12" w:space="0" w:color="auto"/>
            </w:tcBorders>
            <w:vAlign w:val="center"/>
          </w:tcPr>
          <w:p w:rsidR="00A93B42" w:rsidRPr="00A93B42" w:rsidRDefault="00A93B42" w:rsidP="00EF0CC3">
            <w:pPr>
              <w:rPr>
                <w:sz w:val="22"/>
              </w:rPr>
            </w:pPr>
            <w:r w:rsidRPr="00A93B42">
              <w:rPr>
                <w:sz w:val="22"/>
              </w:rPr>
              <w:t>Woda</w:t>
            </w:r>
          </w:p>
        </w:tc>
        <w:tc>
          <w:tcPr>
            <w:tcW w:w="2303" w:type="dxa"/>
            <w:tcBorders>
              <w:bottom w:val="single" w:sz="12" w:space="0" w:color="auto"/>
            </w:tcBorders>
            <w:vAlign w:val="center"/>
          </w:tcPr>
          <w:p w:rsidR="00A93B42" w:rsidRPr="00A93B42" w:rsidRDefault="00A93B42" w:rsidP="00EF0CC3">
            <w:pPr>
              <w:jc w:val="center"/>
              <w:rPr>
                <w:sz w:val="22"/>
              </w:rPr>
            </w:pPr>
            <w:r w:rsidRPr="00A93B42">
              <w:rPr>
                <w:sz w:val="22"/>
              </w:rPr>
              <w:t>10 μl</w:t>
            </w:r>
          </w:p>
        </w:tc>
        <w:tc>
          <w:tcPr>
            <w:tcW w:w="2303" w:type="dxa"/>
            <w:tcBorders>
              <w:bottom w:val="single" w:sz="12" w:space="0" w:color="auto"/>
            </w:tcBorders>
            <w:vAlign w:val="center"/>
          </w:tcPr>
          <w:p w:rsidR="00A93B42" w:rsidRPr="00A93B42" w:rsidRDefault="00A93B42" w:rsidP="00EF0CC3">
            <w:pPr>
              <w:jc w:val="center"/>
              <w:rPr>
                <w:sz w:val="22"/>
              </w:rPr>
            </w:pPr>
            <w:r w:rsidRPr="00A93B42">
              <w:rPr>
                <w:sz w:val="22"/>
              </w:rPr>
              <w:t>--</w:t>
            </w:r>
          </w:p>
        </w:tc>
        <w:tc>
          <w:tcPr>
            <w:tcW w:w="2303" w:type="dxa"/>
            <w:tcBorders>
              <w:bottom w:val="single" w:sz="12" w:space="0" w:color="auto"/>
            </w:tcBorders>
            <w:vAlign w:val="center"/>
          </w:tcPr>
          <w:p w:rsidR="00A93B42" w:rsidRPr="00A93B42" w:rsidRDefault="00A93B42" w:rsidP="00EF0CC3">
            <w:pPr>
              <w:jc w:val="center"/>
              <w:rPr>
                <w:sz w:val="22"/>
              </w:rPr>
            </w:pPr>
            <w:r w:rsidRPr="00A93B42">
              <w:rPr>
                <w:sz w:val="22"/>
              </w:rPr>
              <w:t>--</w:t>
            </w:r>
          </w:p>
        </w:tc>
      </w:tr>
    </w:tbl>
    <w:p w:rsidR="00A93B42" w:rsidRPr="00A93B42" w:rsidRDefault="00A93B42" w:rsidP="00A93B42">
      <w:pPr>
        <w:outlineLvl w:val="2"/>
        <w:rPr>
          <w:b/>
        </w:rPr>
      </w:pPr>
    </w:p>
    <w:p w:rsidR="00A93B42" w:rsidRPr="00A93B42" w:rsidRDefault="00A93B42" w:rsidP="00A93B42">
      <w:pPr>
        <w:jc w:val="both"/>
      </w:pPr>
      <w:r w:rsidRPr="00A93B42">
        <w:t xml:space="preserve">Wymieszać. Inkubować przez 5 minut w temperaturze </w:t>
      </w:r>
      <w:smartTag w:uri="urn:schemas-microsoft-com:office:smarttags" w:element="metricconverter">
        <w:smartTagPr>
          <w:attr w:name="ProductID" w:val="37ﾰC"/>
        </w:smartTagPr>
        <w:r w:rsidRPr="00A93B42">
          <w:t>37°C</w:t>
        </w:r>
      </w:smartTag>
      <w:r w:rsidRPr="00A93B42">
        <w:t>. Odczytać absorbancję próby badanej i wzorcowej wobec próby odczynnikowej przy długości fali 500 nm.</w:t>
      </w:r>
    </w:p>
    <w:p w:rsidR="00A93B42" w:rsidRPr="00A93B42" w:rsidRDefault="00A93B42" w:rsidP="00A93B42">
      <w:pPr>
        <w:jc w:val="both"/>
      </w:pPr>
    </w:p>
    <w:p w:rsidR="00A93B42" w:rsidRPr="00A93B42" w:rsidRDefault="00A93B42" w:rsidP="00A93B42">
      <w:pPr>
        <w:jc w:val="both"/>
      </w:pPr>
      <w:r w:rsidRPr="00A93B42">
        <w:t xml:space="preserve">Stężenie triacylogliceroli obliczyć z wzoru: </w:t>
      </w:r>
    </w:p>
    <w:p w:rsidR="00A93B42" w:rsidRPr="00A93B42" w:rsidRDefault="00A93B42" w:rsidP="00A93B42">
      <w:pPr>
        <w:jc w:val="center"/>
        <w:rPr>
          <w:sz w:val="28"/>
        </w:rPr>
      </w:pPr>
    </w:p>
    <w:p w:rsidR="00A93B42" w:rsidRPr="00A93B42" w:rsidRDefault="00A93B42" w:rsidP="00A93B42">
      <w:pPr>
        <w:jc w:val="center"/>
        <w:rPr>
          <w:sz w:val="28"/>
          <w:lang w:val="en-US"/>
        </w:rPr>
      </w:pPr>
      <w:r w:rsidRPr="00A93B42">
        <w:rPr>
          <w:sz w:val="28"/>
          <w:lang w:val="en-US"/>
        </w:rPr>
        <w:t>TG [mg%] = (A</w:t>
      </w:r>
      <w:r w:rsidRPr="00A93B42">
        <w:rPr>
          <w:sz w:val="28"/>
          <w:vertAlign w:val="subscript"/>
          <w:lang w:val="en-US"/>
        </w:rPr>
        <w:t>bad</w:t>
      </w:r>
      <w:r w:rsidRPr="00A93B42">
        <w:rPr>
          <w:sz w:val="28"/>
          <w:lang w:val="en-US"/>
        </w:rPr>
        <w:t>/A</w:t>
      </w:r>
      <w:r w:rsidRPr="00A93B42">
        <w:rPr>
          <w:sz w:val="28"/>
          <w:vertAlign w:val="subscript"/>
          <w:lang w:val="en-US"/>
        </w:rPr>
        <w:t>wz</w:t>
      </w:r>
      <w:r w:rsidRPr="00A93B42">
        <w:rPr>
          <w:sz w:val="28"/>
          <w:lang w:val="en-US"/>
        </w:rPr>
        <w:t>) x C</w:t>
      </w:r>
      <w:r w:rsidRPr="00A93B42">
        <w:rPr>
          <w:sz w:val="28"/>
          <w:vertAlign w:val="subscript"/>
          <w:lang w:val="en-US"/>
        </w:rPr>
        <w:t>wz</w:t>
      </w:r>
    </w:p>
    <w:p w:rsidR="00A93B42" w:rsidRPr="00A93B42" w:rsidRDefault="00A93B42" w:rsidP="00A93B42">
      <w:pPr>
        <w:jc w:val="both"/>
        <w:rPr>
          <w:lang w:val="en-US"/>
        </w:rPr>
      </w:pPr>
    </w:p>
    <w:p w:rsidR="00A93B42" w:rsidRPr="00A93B42" w:rsidRDefault="00A93B42" w:rsidP="00A93B42">
      <w:pPr>
        <w:jc w:val="both"/>
      </w:pPr>
      <w:r w:rsidRPr="00A93B42">
        <w:t>Od otrzymanego wyniku odjąć 10 mg% (stężenie wolnego glicerolu w krwi).</w:t>
      </w:r>
    </w:p>
    <w:p w:rsidR="00A93B42" w:rsidRDefault="00A93B42" w:rsidP="00A93B42">
      <w:pPr>
        <w:jc w:val="both"/>
      </w:pPr>
      <w:r w:rsidRPr="00A93B42">
        <w:t>Zinterpretować wynik. Porównać wyniki uzyskane dwiema metodami.</w:t>
      </w:r>
    </w:p>
    <w:p w:rsidR="00A93B42" w:rsidRPr="00A93B42" w:rsidRDefault="00A93B42" w:rsidP="00A93B42">
      <w:pPr>
        <w:jc w:val="both"/>
        <w:rPr>
          <w:b/>
        </w:rPr>
      </w:pPr>
    </w:p>
    <w:p w:rsidR="00A93B42" w:rsidRPr="00A93B42" w:rsidRDefault="00A93B42" w:rsidP="00A93B42">
      <w:pPr>
        <w:jc w:val="both"/>
        <w:rPr>
          <w:b/>
        </w:rPr>
      </w:pPr>
    </w:p>
    <w:p w:rsidR="00A93B42" w:rsidRPr="00A93B42" w:rsidRDefault="00A93B42" w:rsidP="00A93B42">
      <w:pPr>
        <w:jc w:val="both"/>
        <w:rPr>
          <w:b/>
        </w:rPr>
      </w:pPr>
    </w:p>
    <w:p w:rsidR="00A93B42" w:rsidRPr="00A93B42" w:rsidRDefault="00A93B42" w:rsidP="00A93B42">
      <w:pPr>
        <w:jc w:val="both"/>
        <w:rPr>
          <w:b/>
        </w:rPr>
      </w:pPr>
    </w:p>
    <w:p w:rsidR="00A93B42" w:rsidRPr="00A93B42" w:rsidRDefault="00A93B42" w:rsidP="00A93B42">
      <w:pPr>
        <w:jc w:val="both"/>
        <w:rPr>
          <w:b/>
        </w:rPr>
      </w:pPr>
    </w:p>
    <w:p w:rsidR="00A93B42" w:rsidRDefault="00A93B42" w:rsidP="00A93B42"/>
    <w:p w:rsidR="00A93B42" w:rsidRDefault="00A93B42" w:rsidP="00A93B42"/>
    <w:p w:rsidR="00F50348" w:rsidRDefault="00F3078E"/>
    <w:sectPr w:rsidR="00F5034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078E" w:rsidRDefault="00F3078E" w:rsidP="008B3E32">
      <w:r>
        <w:separator/>
      </w:r>
    </w:p>
  </w:endnote>
  <w:endnote w:type="continuationSeparator" w:id="0">
    <w:p w:rsidR="00F3078E" w:rsidRDefault="00F3078E" w:rsidP="008B3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4BE" w:rsidRPr="00692E5B" w:rsidRDefault="00F63769" w:rsidP="00692E5B">
    <w:pPr>
      <w:pStyle w:val="Stopka"/>
      <w:framePr w:wrap="around" w:vAnchor="text" w:hAnchor="page" w:x="11139" w:y="-115"/>
      <w:rPr>
        <w:rStyle w:val="Numerstrony"/>
        <w:rFonts w:ascii="Arial" w:hAnsi="Arial" w:cs="Arial"/>
        <w:color w:val="FFFFFF"/>
        <w:sz w:val="28"/>
        <w:szCs w:val="28"/>
      </w:rPr>
    </w:pPr>
    <w:r w:rsidRPr="00692E5B">
      <w:rPr>
        <w:rStyle w:val="Numerstrony"/>
        <w:rFonts w:ascii="Arial" w:hAnsi="Arial" w:cs="Arial"/>
        <w:color w:val="FFFFFF"/>
        <w:sz w:val="28"/>
        <w:szCs w:val="28"/>
      </w:rPr>
      <w:fldChar w:fldCharType="begin"/>
    </w:r>
    <w:r w:rsidRPr="00692E5B">
      <w:rPr>
        <w:rStyle w:val="Numerstrony"/>
        <w:rFonts w:ascii="Arial" w:hAnsi="Arial" w:cs="Arial"/>
        <w:color w:val="FFFFFF"/>
        <w:sz w:val="28"/>
        <w:szCs w:val="28"/>
      </w:rPr>
      <w:instrText xml:space="preserve">PAGE  </w:instrText>
    </w:r>
    <w:r w:rsidRPr="00692E5B">
      <w:rPr>
        <w:rStyle w:val="Numerstrony"/>
        <w:rFonts w:ascii="Arial" w:hAnsi="Arial" w:cs="Arial"/>
        <w:color w:val="FFFFFF"/>
        <w:sz w:val="28"/>
        <w:szCs w:val="28"/>
      </w:rPr>
      <w:fldChar w:fldCharType="separate"/>
    </w:r>
    <w:r w:rsidR="008B3E32">
      <w:rPr>
        <w:rStyle w:val="Numerstrony"/>
        <w:rFonts w:ascii="Arial" w:hAnsi="Arial" w:cs="Arial"/>
        <w:noProof/>
        <w:color w:val="FFFFFF"/>
        <w:sz w:val="28"/>
        <w:szCs w:val="28"/>
      </w:rPr>
      <w:t>2</w:t>
    </w:r>
    <w:r w:rsidRPr="00692E5B">
      <w:rPr>
        <w:rStyle w:val="Numerstrony"/>
        <w:rFonts w:ascii="Arial" w:hAnsi="Arial" w:cs="Arial"/>
        <w:color w:val="FFFFFF"/>
        <w:sz w:val="28"/>
        <w:szCs w:val="28"/>
      </w:rPr>
      <w:fldChar w:fldCharType="end"/>
    </w:r>
  </w:p>
  <w:p w:rsidR="009974BE" w:rsidRDefault="00F3078E" w:rsidP="003655E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078E" w:rsidRDefault="00F3078E" w:rsidP="008B3E32">
      <w:r>
        <w:separator/>
      </w:r>
    </w:p>
  </w:footnote>
  <w:footnote w:type="continuationSeparator" w:id="0">
    <w:p w:rsidR="00F3078E" w:rsidRDefault="00F3078E" w:rsidP="008B3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4BE" w:rsidRPr="00925331" w:rsidRDefault="00F3078E" w:rsidP="00925331">
    <w:pPr>
      <w:pStyle w:val="Nagwek"/>
      <w:tabs>
        <w:tab w:val="right" w:pos="9720"/>
      </w:tabs>
      <w:spacing w:before="120"/>
      <w:ind w:right="-369"/>
      <w:rPr>
        <w:color w:val="FFFFFF"/>
        <w:sz w:val="20"/>
        <w:szCs w:val="20"/>
      </w:rPr>
    </w:pPr>
    <w:r>
      <w:rPr>
        <w:noProof/>
        <w:color w:val="FFFFFF"/>
        <w:sz w:val="20"/>
        <w:szCs w:val="20"/>
      </w:rPr>
      <w:pict>
        <v:rect id="_x0000_s2049" style="position:absolute;margin-left:-9pt;margin-top:-.55pt;width:495pt;height:27pt;z-index:-251657216" fillcolor="silver" stroked="f"/>
      </w:pict>
    </w:r>
    <w:r>
      <w:rPr>
        <w:noProof/>
        <w:color w:val="FFFFFF"/>
        <w:sz w:val="20"/>
        <w:szCs w:val="20"/>
      </w:rPr>
      <w:pict>
        <v:line id="_x0000_s2051" style="position:absolute;z-index:251661312" from="-9pt,26.45pt" to="522pt,26.45pt" strokeweight="1.5pt"/>
      </w:pict>
    </w:r>
    <w:r>
      <w:rPr>
        <w:noProof/>
        <w:color w:val="FFFFFF"/>
        <w:sz w:val="20"/>
        <w:szCs w:val="20"/>
      </w:rPr>
      <w:pict>
        <v:rect id="_x0000_s2050" style="position:absolute;margin-left:486pt;margin-top:-36.55pt;width:36pt;height:63pt;z-index:251660288" fillcolor="#36f" stroked="f"/>
      </w:pict>
    </w:r>
    <w:r w:rsidR="00F63769" w:rsidRPr="00925331">
      <w:rPr>
        <w:color w:val="FFFFFF"/>
        <w:sz w:val="20"/>
        <w:szCs w:val="20"/>
      </w:rPr>
      <w:t>Skrypt do ćwiczeń z biochemii                                                              Rozdział 9 – diagnostyka enzymologiczna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21504_"/>
      </v:shape>
    </w:pict>
  </w:numPicBullet>
  <w:abstractNum w:abstractNumId="0" w15:restartNumberingAfterBreak="0">
    <w:nsid w:val="0BD05B91"/>
    <w:multiLevelType w:val="hybridMultilevel"/>
    <w:tmpl w:val="26D86F7A"/>
    <w:lvl w:ilvl="0" w:tplc="82F470A0">
      <w:start w:val="1"/>
      <w:numFmt w:val="bullet"/>
      <w:lvlText w:val=""/>
      <w:lvlPicBulletId w:val="0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</w:rPr>
    </w:lvl>
    <w:lvl w:ilvl="1" w:tplc="BB7C24DE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5078C"/>
    <w:multiLevelType w:val="hybridMultilevel"/>
    <w:tmpl w:val="624C59C0"/>
    <w:lvl w:ilvl="0" w:tplc="793A2900">
      <w:start w:val="1"/>
      <w:numFmt w:val="decimal"/>
      <w:lvlText w:val="Ćwiczenie 9.2.%1."/>
      <w:lvlJc w:val="left"/>
      <w:pPr>
        <w:tabs>
          <w:tab w:val="num" w:pos="1928"/>
        </w:tabs>
        <w:ind w:left="1928" w:hanging="1928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915541"/>
    <w:multiLevelType w:val="hybridMultilevel"/>
    <w:tmpl w:val="029691D8"/>
    <w:lvl w:ilvl="0" w:tplc="3F0C2A7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F511C5"/>
    <w:multiLevelType w:val="hybridMultilevel"/>
    <w:tmpl w:val="516C193C"/>
    <w:lvl w:ilvl="0" w:tplc="6E46E88A">
      <w:start w:val="1"/>
      <w:numFmt w:val="decimal"/>
      <w:lvlText w:val="Ćwiczenie 7.2.%1."/>
      <w:lvlJc w:val="left"/>
      <w:pPr>
        <w:tabs>
          <w:tab w:val="num" w:pos="1928"/>
        </w:tabs>
        <w:ind w:left="1928" w:hanging="1928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E94A74"/>
    <w:multiLevelType w:val="hybridMultilevel"/>
    <w:tmpl w:val="28B033FC"/>
    <w:lvl w:ilvl="0" w:tplc="BFF4863A">
      <w:start w:val="1"/>
      <w:numFmt w:val="decimal"/>
      <w:lvlText w:val="9.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8"/>
        <w:szCs w:val="28"/>
      </w:rPr>
    </w:lvl>
    <w:lvl w:ilvl="1" w:tplc="CCAA421E">
      <w:start w:val="1"/>
      <w:numFmt w:val="bullet"/>
      <w:lvlText w:val=""/>
      <w:lvlJc w:val="left"/>
      <w:pPr>
        <w:tabs>
          <w:tab w:val="num" w:pos="1024"/>
        </w:tabs>
        <w:ind w:left="1024" w:hanging="284"/>
      </w:pPr>
      <w:rPr>
        <w:rFonts w:ascii="Symbol" w:hAnsi="Symbol" w:hint="default"/>
        <w:b/>
        <w:i w:val="0"/>
        <w:color w:val="auto"/>
        <w:sz w:val="28"/>
        <w:szCs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5" w15:restartNumberingAfterBreak="0">
    <w:nsid w:val="40DF70AD"/>
    <w:multiLevelType w:val="hybridMultilevel"/>
    <w:tmpl w:val="86E80D56"/>
    <w:lvl w:ilvl="0" w:tplc="4AF2A3E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E729C9"/>
    <w:multiLevelType w:val="hybridMultilevel"/>
    <w:tmpl w:val="D7ACA326"/>
    <w:lvl w:ilvl="0" w:tplc="79542DA0">
      <w:start w:val="1"/>
      <w:numFmt w:val="decimal"/>
      <w:lvlText w:val="Ćwiczenie 10.2.%1."/>
      <w:lvlJc w:val="left"/>
      <w:pPr>
        <w:tabs>
          <w:tab w:val="num" w:pos="1928"/>
        </w:tabs>
        <w:ind w:left="1928" w:hanging="1928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033939"/>
    <w:multiLevelType w:val="hybridMultilevel"/>
    <w:tmpl w:val="0E0665C6"/>
    <w:lvl w:ilvl="0" w:tplc="E6A49F70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823984"/>
    <w:multiLevelType w:val="hybridMultilevel"/>
    <w:tmpl w:val="4444595C"/>
    <w:lvl w:ilvl="0" w:tplc="20B8B5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100735"/>
    <w:multiLevelType w:val="hybridMultilevel"/>
    <w:tmpl w:val="44CE20B8"/>
    <w:lvl w:ilvl="0" w:tplc="A1F270C8">
      <w:start w:val="1"/>
      <w:numFmt w:val="decimal"/>
      <w:lvlText w:val="10.%1."/>
      <w:lvlJc w:val="left"/>
      <w:pPr>
        <w:tabs>
          <w:tab w:val="num" w:pos="1021"/>
        </w:tabs>
        <w:ind w:left="1021" w:hanging="681"/>
      </w:pPr>
      <w:rPr>
        <w:rFonts w:hint="default"/>
        <w:b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4"/>
  </w:num>
  <w:num w:numId="5">
    <w:abstractNumId w:val="8"/>
  </w:num>
  <w:num w:numId="6">
    <w:abstractNumId w:val="0"/>
  </w:num>
  <w:num w:numId="7">
    <w:abstractNumId w:val="1"/>
  </w:num>
  <w:num w:numId="8">
    <w:abstractNumId w:val="9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B42"/>
    <w:rsid w:val="00075655"/>
    <w:rsid w:val="0033234A"/>
    <w:rsid w:val="004F0138"/>
    <w:rsid w:val="005F2AF8"/>
    <w:rsid w:val="008B3E32"/>
    <w:rsid w:val="00A93B42"/>
    <w:rsid w:val="00B26C19"/>
    <w:rsid w:val="00C24D54"/>
    <w:rsid w:val="00C82B7E"/>
    <w:rsid w:val="00D54F50"/>
    <w:rsid w:val="00F3078E"/>
    <w:rsid w:val="00F6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0526C190-1301-4EAE-B9D7-991645CDC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93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93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A93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A93B42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3B42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A93B42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93B42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Numerstrony">
    <w:name w:val="page number"/>
    <w:basedOn w:val="Domylnaczcionkaakapitu"/>
    <w:rsid w:val="00A93B42"/>
  </w:style>
  <w:style w:type="table" w:styleId="Tabela-Motyw">
    <w:name w:val="Table Theme"/>
    <w:basedOn w:val="Standardowy"/>
    <w:rsid w:val="00A93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1540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Violetta Krajka-Kuźniak</cp:lastModifiedBy>
  <cp:revision>2</cp:revision>
  <dcterms:created xsi:type="dcterms:W3CDTF">2025-10-27T11:58:00Z</dcterms:created>
  <dcterms:modified xsi:type="dcterms:W3CDTF">2025-10-27T11:58:00Z</dcterms:modified>
</cp:coreProperties>
</file>